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BC452" w14:textId="77777777" w:rsidR="0061016F" w:rsidRDefault="0061016F" w:rsidP="00D3045E">
      <w:pPr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3DA39C0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 xml:space="preserve">,  pre výzvu </w:t>
      </w:r>
      <w:r w:rsidR="00F25100" w:rsidRPr="00CD50FF">
        <w:rPr>
          <w:rFonts w:asciiTheme="minorHAnsi" w:hAnsiTheme="minorHAnsi"/>
          <w:b/>
          <w:u w:val="single"/>
        </w:rPr>
        <w:t>OPLZ-P06-SC612-201</w:t>
      </w:r>
      <w:r w:rsidR="00C8601F">
        <w:rPr>
          <w:rFonts w:asciiTheme="minorHAnsi" w:hAnsiTheme="minorHAnsi"/>
          <w:b/>
          <w:u w:val="single"/>
        </w:rPr>
        <w:t>8-1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</w:t>
      </w:r>
      <w:proofErr w:type="spellStart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a,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za účelom zriadenia materskej školy/ 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b,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pracoviska, za účelom rozšírenia a presunutia kapacity existujúcej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2C6D845C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color w:val="000000"/>
          <w:sz w:val="18"/>
          <w:szCs w:val="18"/>
        </w:rPr>
        <w:t>v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prípade spôsobu realizácie a, </w:t>
      </w:r>
      <w:r w:rsidRPr="00952AD0">
        <w:rPr>
          <w:rFonts w:ascii="Calibri" w:hAnsi="Calibri" w:cs="Calibri"/>
          <w:color w:val="000000"/>
          <w:sz w:val="18"/>
          <w:szCs w:val="18"/>
        </w:rPr>
        <w:t>budú podporené projekty zamerané na výstavbu nových materských škôl/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elokovaných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pracovísk v obciach s prítomnosťou MRK, ktoré budú navštevovať deti z prostredia MRK, 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z plánovanej kapacity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materskej školy/ 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pracoviska. </w:t>
      </w:r>
    </w:p>
    <w:p w14:paraId="1DDFF41D" w14:textId="2E99413F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952AD0">
        <w:rPr>
          <w:rFonts w:ascii="Calibri" w:hAnsi="Calibri" w:cs="Calibri"/>
          <w:color w:val="000000"/>
          <w:sz w:val="18"/>
          <w:szCs w:val="18"/>
        </w:rPr>
        <w:t>budú podporené projekty, pri ktorých bude výstavba novej budovy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zameraná na rozšírenie kapacity existujúcej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nárast existujúcej kapacity </w:t>
      </w:r>
      <w:r w:rsidRPr="00952AD0">
        <w:rPr>
          <w:rFonts w:ascii="Calibri" w:hAnsi="Calibri" w:cs="Calibri"/>
          <w:color w:val="000000"/>
          <w:sz w:val="18"/>
          <w:szCs w:val="18"/>
        </w:rPr>
        <w:t>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952AD0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v čase podania 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(t. j. z kapacity pred jej rozšírením).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 z kapacity zariadenia po navýšení o požadovaných 30 %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ktorý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952AD0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po navýšení.</w:t>
      </w:r>
      <w:r w:rsidRPr="00A030D8">
        <w:rPr>
          <w:rFonts w:ascii="Calibri" w:hAnsi="Calibri" w:cs="Calibri"/>
          <w:color w:val="000000"/>
          <w:sz w:val="18"/>
          <w:szCs w:val="18"/>
        </w:rPr>
        <w:t>“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 budovy materskej školy/</w:t>
      </w:r>
      <w:proofErr w:type="spellStart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</w:t>
      </w:r>
    </w:p>
    <w:p w14:paraId="43733FFE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 za účelom rozšírenia jej kapacity;</w:t>
      </w:r>
    </w:p>
    <w:p w14:paraId="1537DB23" w14:textId="77777777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 za účelom presunutia a rozšírenia existujúcej kapacity z existujúcej 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pracoviska; </w:t>
      </w:r>
    </w:p>
    <w:p w14:paraId="1ADE7BE0" w14:textId="77777777" w:rsidR="005601C9" w:rsidRPr="00C9453B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za účelom zriadenia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pracoviska;</w:t>
      </w:r>
    </w:p>
    <w:p w14:paraId="6442EFA7" w14:textId="77777777" w:rsidR="005601C9" w:rsidRPr="00AA4203" w:rsidRDefault="005601C9" w:rsidP="005601C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18"/>
          <w:szCs w:val="18"/>
        </w:rPr>
      </w:pPr>
    </w:p>
    <w:p w14:paraId="3669C80D" w14:textId="76F0CB1B" w:rsidR="00DC2CDC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FC5538">
        <w:rPr>
          <w:rFonts w:ascii="Calibri" w:hAnsi="Calibri" w:cs="Calibri"/>
          <w:color w:val="000000"/>
          <w:sz w:val="18"/>
          <w:szCs w:val="18"/>
        </w:rPr>
        <w:t>V zmysle výzvy v prípade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 spôsobu realizácie a, alebo b, </w:t>
      </w:r>
      <w:r w:rsidRPr="00D6683F">
        <w:rPr>
          <w:rFonts w:ascii="Calibri" w:hAnsi="Calibri" w:cs="Calibri"/>
          <w:color w:val="000000"/>
          <w:sz w:val="18"/>
          <w:szCs w:val="18"/>
        </w:rPr>
        <w:t>podporené budú projekty, pri ktorých bude rekonštrukcia zameraná na rozšírenie kapacity existujúcej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nárast kapacity </w:t>
      </w:r>
      <w:r w:rsidRPr="00D6683F">
        <w:rPr>
          <w:rFonts w:ascii="Calibri" w:hAnsi="Calibri" w:cs="Calibri"/>
          <w:color w:val="000000"/>
          <w:sz w:val="18"/>
          <w:szCs w:val="18"/>
        </w:rPr>
        <w:t>existujúcej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D6683F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v čase podania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(teda z kapacity pred jej rozšírením).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>minimálna kapacita určená pre deti z</w:t>
      </w:r>
      <w:r w:rsidRPr="00A030D8">
        <w:rPr>
          <w:rFonts w:ascii="Calibri" w:hAnsi="Calibri" w:cs="Calibri"/>
          <w:bCs/>
          <w:color w:val="000000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lastRenderedPageBreak/>
        <w:t xml:space="preserve">MRK z kapacity zariadenia po navýšení o 30 %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po navýšení.</w:t>
      </w:r>
    </w:p>
    <w:p w14:paraId="5B824016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budú podporené projekty, pri ktorých žiadateľ preukáže, že z objektívnych dôvodov nie je možné rozšírenie kapacity materskej školy /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prostredníctvom rekonštrukcie existujúcej budovy materskej školy /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 </w:t>
      </w:r>
    </w:p>
    <w:p w14:paraId="4C8B0682" w14:textId="17630FA8" w:rsidR="003D4074" w:rsidRPr="003D4074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c, </w:t>
      </w:r>
      <w:r w:rsidRPr="00D6683F">
        <w:rPr>
          <w:rFonts w:ascii="Calibri" w:hAnsi="Calibri" w:cs="Calibri"/>
          <w:color w:val="000000"/>
          <w:sz w:val="18"/>
          <w:szCs w:val="18"/>
        </w:rPr>
        <w:t>budú podporené projekty zamerané na rekonštrukciu budovy za účelom zriadenia novej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pracoviska, ktoré budú navštevovať deti z prostredia MRK, pričom 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minimálna kapacita určená pre deti z MRK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</w:t>
      </w: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CB8B5FD" w14:textId="77777777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Príklad výpočtu rozšírenia kapacity: </w:t>
      </w:r>
    </w:p>
    <w:p w14:paraId="752A61C1" w14:textId="325457E4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Obec plánuje rekonštruovať predškolské zariadenie s existujúcou kapacitou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100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. V rámci rekonštrukcie je obec povinná aj rozšíriť kapacitu predškolského zariadenia, pričom v rámci rozšírenia novovytvorená kapacita musí byť minimálne 30 miest (30%), t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.j.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130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čoho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26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z novovytvorenej kapacity 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0CF31130" w14:textId="68BC878A" w:rsidR="00AE7691" w:rsidRDefault="005601C9" w:rsidP="005601C9">
      <w:pPr>
        <w:spacing w:after="12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V prípade, ak rozšírená kapacita bude napr. o 50%, t.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j. o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čo je kapacita po navýšení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toho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30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4B8FCCB2" w14:textId="77777777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66AC9F5B" w14:textId="1868C0A2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>- počas sledovaného obdobia, t.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E793B">
        <w:rPr>
          <w:rFonts w:ascii="Calibri" w:hAnsi="Calibri" w:cs="Calibri"/>
          <w:color w:val="000000"/>
          <w:sz w:val="20"/>
          <w:szCs w:val="20"/>
        </w:rPr>
        <w:t>j. každý rok obdobia udržateľnosti, musí byť z celkového počtu detí, ktoré navštevujú materskú školu/</w:t>
      </w:r>
      <w:proofErr w:type="spellStart"/>
      <w:r w:rsidRPr="00CE793B">
        <w:rPr>
          <w:rFonts w:ascii="Calibri" w:hAnsi="Calibri" w:cs="Calibri"/>
          <w:color w:val="000000"/>
          <w:sz w:val="20"/>
          <w:szCs w:val="20"/>
        </w:rPr>
        <w:t>elokované</w:t>
      </w:r>
      <w:proofErr w:type="spellEnd"/>
      <w:r w:rsidRPr="00CE793B">
        <w:rPr>
          <w:rFonts w:ascii="Calibri" w:hAnsi="Calibri" w:cs="Calibri"/>
          <w:color w:val="000000"/>
          <w:sz w:val="20"/>
          <w:szCs w:val="20"/>
        </w:rPr>
        <w:t xml:space="preserve"> pracovisko v sledovanom roku,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15%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3DC4649B" w14:textId="769AE546" w:rsidR="005601C9" w:rsidRDefault="00CE793B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>- žiadateľ/prijímateľ je povinný na konci obdobia udržateľnosti projektu preukázať, že z kumulatívnej hodnoty počtu detí, ktoré navštevovali materskú školu/</w:t>
      </w:r>
      <w:proofErr w:type="spellStart"/>
      <w:r w:rsidRPr="00CE793B">
        <w:rPr>
          <w:rFonts w:ascii="Calibri" w:hAnsi="Calibri" w:cs="Calibri"/>
          <w:color w:val="000000"/>
          <w:sz w:val="20"/>
          <w:szCs w:val="20"/>
        </w:rPr>
        <w:t>elokované</w:t>
      </w:r>
      <w:proofErr w:type="spellEnd"/>
      <w:r w:rsidRPr="00CE793B">
        <w:rPr>
          <w:rFonts w:ascii="Calibri" w:hAnsi="Calibri" w:cs="Calibri"/>
          <w:color w:val="000000"/>
          <w:sz w:val="20"/>
          <w:szCs w:val="20"/>
        </w:rPr>
        <w:t xml:space="preserve"> pracovisko počas obdobia udržateľnosti, bolo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20%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2F5A9FDF" w14:textId="77777777" w:rsidR="00985457" w:rsidRDefault="00985457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z celkového počtu detí, ktoré navštevujú materskú školu/</w:t>
            </w:r>
            <w:proofErr w:type="spellStart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elokované</w:t>
            </w:r>
            <w:proofErr w:type="spellEnd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lastRenderedPageBreak/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5AEFBDF5" w14:textId="1B9EF11D" w:rsid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4D53E1D5" w:rsidR="005649DA" w:rsidRPr="005C131E" w:rsidRDefault="00125534" w:rsidP="005C131E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na konci obdobia udržateľnosti projektu preukázať, že z kumulatívnej hodnoty počtu detí, ktoré navštevovali materskú školu/</w:t>
            </w:r>
            <w:proofErr w:type="spellStart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elokované</w:t>
            </w:r>
            <w:proofErr w:type="spellEnd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pracovisko počas obdobia udržateľnosti,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20%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D6BE7">
        <w:trPr>
          <w:trHeight w:val="1581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54DD31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Z = (20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elokované</w:t>
            </w:r>
            <w:proofErr w:type="spellEnd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594CF0C4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umulatív</w:t>
            </w:r>
            <w:proofErr w:type="spellEnd"/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05D5D00B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oproti výške, ktorá bola  schválená v </w:t>
      </w:r>
      <w:proofErr w:type="spellStart"/>
      <w:r w:rsidRPr="00461CAF">
        <w:rPr>
          <w:rFonts w:asciiTheme="minorHAnsi" w:hAnsiTheme="minorHAnsi" w:cstheme="minorHAnsi"/>
          <w:bCs/>
          <w:i/>
          <w:sz w:val="18"/>
          <w:szCs w:val="18"/>
        </w:rPr>
        <w:t>ŽoNFP</w:t>
      </w:r>
      <w:proofErr w:type="spellEnd"/>
      <w:r w:rsidRPr="00461CAF">
        <w:rPr>
          <w:rFonts w:asciiTheme="minorHAnsi" w:hAnsiTheme="minorHAnsi" w:cstheme="minorHAnsi"/>
          <w:bCs/>
          <w:i/>
          <w:sz w:val="18"/>
          <w:szCs w:val="18"/>
        </w:rPr>
        <w:t>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Trávia deti, ktoré vykazujete v rámci MU P0716 v MŠ približne rovnaké množstvo času ako ostatné deti? (denná, mesačná dochádzka, časté choroby </w:t>
            </w:r>
            <w:proofErr w:type="spellStart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1C6B900B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30D3F" w14:textId="77777777" w:rsidR="002F4520" w:rsidRDefault="002F4520">
      <w:r>
        <w:separator/>
      </w:r>
    </w:p>
  </w:endnote>
  <w:endnote w:type="continuationSeparator" w:id="0">
    <w:p w14:paraId="47ED9A8D" w14:textId="77777777" w:rsidR="002F4520" w:rsidRDefault="002F4520">
      <w:r>
        <w:continuationSeparator/>
      </w:r>
    </w:p>
  </w:endnote>
  <w:endnote w:type="continuationNotice" w:id="1">
    <w:p w14:paraId="4A9EBF5B" w14:textId="77777777" w:rsidR="002F4520" w:rsidRDefault="002F4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93B65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59F3" w14:textId="77777777" w:rsidR="002F4520" w:rsidRDefault="002F4520">
      <w:r>
        <w:separator/>
      </w:r>
    </w:p>
  </w:footnote>
  <w:footnote w:type="continuationSeparator" w:id="0">
    <w:p w14:paraId="0B897273" w14:textId="77777777" w:rsidR="002F4520" w:rsidRDefault="002F4520">
      <w:r>
        <w:continuationSeparator/>
      </w:r>
    </w:p>
  </w:footnote>
  <w:footnote w:type="continuationNotice" w:id="1">
    <w:p w14:paraId="7E08F2D3" w14:textId="77777777" w:rsidR="002F4520" w:rsidRDefault="002F4520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A2C1A64" w:rsidR="00333663" w:rsidRDefault="00317B67" w:rsidP="00C86D2A">
    <w:pPr>
      <w:pStyle w:val="Hlavika"/>
      <w:jc w:val="center"/>
    </w:pPr>
    <w:r>
      <w:rPr>
        <w:noProof/>
      </w:rPr>
      <w:drawing>
        <wp:inline distT="0" distB="0" distL="0" distR="0" wp14:anchorId="58FD2792" wp14:editId="07D8FDFA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5C99EDD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E3493A">
      <w:rPr>
        <w:sz w:val="18"/>
        <w:szCs w:val="18"/>
      </w:rPr>
      <w:t>8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</w:t>
    </w:r>
    <w:r w:rsidR="00DA339D">
      <w:rPr>
        <w:sz w:val="18"/>
        <w:szCs w:val="18"/>
      </w:rPr>
      <w:t xml:space="preserve"> 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62535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419215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10834613">
    <w:abstractNumId w:val="14"/>
  </w:num>
  <w:num w:numId="4" w16cid:durableId="1923680181">
    <w:abstractNumId w:val="16"/>
  </w:num>
  <w:num w:numId="5" w16cid:durableId="438841554">
    <w:abstractNumId w:val="11"/>
  </w:num>
  <w:num w:numId="6" w16cid:durableId="1315720769">
    <w:abstractNumId w:val="18"/>
  </w:num>
  <w:num w:numId="7" w16cid:durableId="2047291134">
    <w:abstractNumId w:val="8"/>
  </w:num>
  <w:num w:numId="8" w16cid:durableId="1157068314">
    <w:abstractNumId w:val="7"/>
  </w:num>
  <w:num w:numId="9" w16cid:durableId="999306399">
    <w:abstractNumId w:val="20"/>
  </w:num>
  <w:num w:numId="10" w16cid:durableId="1348600395">
    <w:abstractNumId w:val="15"/>
  </w:num>
  <w:num w:numId="11" w16cid:durableId="1717000101">
    <w:abstractNumId w:val="19"/>
  </w:num>
  <w:num w:numId="12" w16cid:durableId="763110651">
    <w:abstractNumId w:val="9"/>
  </w:num>
  <w:num w:numId="13" w16cid:durableId="1764064201">
    <w:abstractNumId w:val="0"/>
  </w:num>
  <w:num w:numId="14" w16cid:durableId="1228493933">
    <w:abstractNumId w:val="10"/>
  </w:num>
  <w:num w:numId="15" w16cid:durableId="1929344280">
    <w:abstractNumId w:val="1"/>
  </w:num>
  <w:num w:numId="16" w16cid:durableId="1001390356">
    <w:abstractNumId w:val="17"/>
  </w:num>
  <w:num w:numId="17" w16cid:durableId="157426270">
    <w:abstractNumId w:val="13"/>
  </w:num>
  <w:num w:numId="18" w16cid:durableId="769475240">
    <w:abstractNumId w:val="3"/>
  </w:num>
  <w:num w:numId="19" w16cid:durableId="1387608316">
    <w:abstractNumId w:val="2"/>
  </w:num>
  <w:num w:numId="20" w16cid:durableId="599992447">
    <w:abstractNumId w:val="4"/>
  </w:num>
  <w:num w:numId="21" w16cid:durableId="1284656575">
    <w:abstractNumId w:val="12"/>
  </w:num>
  <w:num w:numId="22" w16cid:durableId="84871527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17B67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1FAF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0CB4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3B65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B3D94"/>
    <w:rsid w:val="00AC5344"/>
    <w:rsid w:val="00AC6A41"/>
    <w:rsid w:val="00AD32AB"/>
    <w:rsid w:val="00AD5E3E"/>
    <w:rsid w:val="00AE1FCA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39D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0C8F"/>
    <w:rsid w:val="00ED3719"/>
    <w:rsid w:val="00ED58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206E0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81DA1E-68C3-4A87-8248-89882C3F8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1596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28</cp:revision>
  <cp:lastPrinted>2019-07-10T08:56:00Z</cp:lastPrinted>
  <dcterms:created xsi:type="dcterms:W3CDTF">2019-06-13T12:37:00Z</dcterms:created>
  <dcterms:modified xsi:type="dcterms:W3CDTF">2024-08-19T16:06:00Z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