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B9C8E5" w14:textId="70C2AE30" w:rsidR="004E4E67" w:rsidRPr="008122BE" w:rsidRDefault="00720AD0" w:rsidP="00B41746">
      <w:pPr>
        <w:jc w:val="right"/>
        <w:rPr>
          <w:rFonts w:asciiTheme="minorHAnsi" w:hAnsiTheme="minorHAnsi" w:cs="Arial"/>
          <w:sz w:val="10"/>
          <w:szCs w:val="10"/>
        </w:rPr>
      </w:pPr>
      <w:bookmarkStart w:id="0" w:name="_GoBack"/>
      <w:bookmarkEnd w:id="0"/>
      <w:r w:rsidRPr="008122BE">
        <w:rPr>
          <w:rFonts w:asciiTheme="minorHAnsi" w:hAnsiTheme="minorHAnsi" w:cstheme="minorHAnsi"/>
          <w:sz w:val="20"/>
          <w:szCs w:val="20"/>
        </w:rPr>
        <w:t xml:space="preserve">Príloha č. </w:t>
      </w:r>
      <w:r w:rsidR="004E3A76">
        <w:rPr>
          <w:rFonts w:asciiTheme="minorHAnsi" w:hAnsiTheme="minorHAnsi" w:cstheme="minorHAnsi"/>
          <w:sz w:val="20"/>
          <w:szCs w:val="20"/>
        </w:rPr>
        <w:t>5</w:t>
      </w:r>
      <w:r w:rsidR="00351DC8">
        <w:rPr>
          <w:rFonts w:asciiTheme="minorHAnsi" w:hAnsiTheme="minorHAnsi" w:cstheme="minorHAnsi"/>
          <w:sz w:val="20"/>
          <w:szCs w:val="20"/>
        </w:rPr>
        <w:t xml:space="preserve"> výzvy</w:t>
      </w:r>
    </w:p>
    <w:p w14:paraId="56F5FDD0" w14:textId="1CB5B656" w:rsidR="00C15A7A" w:rsidRPr="00B33A21" w:rsidRDefault="00B41746" w:rsidP="008122BE">
      <w:pPr>
        <w:tabs>
          <w:tab w:val="center" w:pos="4536"/>
          <w:tab w:val="center" w:pos="7002"/>
          <w:tab w:val="right" w:pos="9072"/>
          <w:tab w:val="left" w:pos="11395"/>
        </w:tabs>
        <w:spacing w:before="12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B33A21">
        <w:rPr>
          <w:rFonts w:asciiTheme="minorHAnsi" w:hAnsiTheme="minorHAnsi" w:cstheme="minorHAnsi"/>
          <w:b/>
          <w:sz w:val="20"/>
          <w:szCs w:val="20"/>
        </w:rPr>
        <w:t xml:space="preserve">Zoznam </w:t>
      </w:r>
      <w:r w:rsidR="00FA0DDD">
        <w:rPr>
          <w:rFonts w:asciiTheme="minorHAnsi" w:hAnsiTheme="minorHAnsi" w:cstheme="minorHAnsi"/>
          <w:b/>
          <w:sz w:val="20"/>
          <w:szCs w:val="20"/>
        </w:rPr>
        <w:t>ďalších</w:t>
      </w:r>
      <w:r w:rsidR="00980C1D" w:rsidRPr="00B33A21">
        <w:rPr>
          <w:rFonts w:asciiTheme="minorHAnsi" w:hAnsiTheme="minorHAnsi" w:cstheme="minorHAnsi"/>
          <w:b/>
          <w:sz w:val="20"/>
          <w:szCs w:val="20"/>
        </w:rPr>
        <w:t xml:space="preserve"> údajov</w:t>
      </w:r>
      <w:r w:rsidRPr="00B33A21">
        <w:rPr>
          <w:rFonts w:asciiTheme="minorHAnsi" w:hAnsiTheme="minorHAnsi" w:cstheme="minorHAnsi"/>
          <w:b/>
          <w:sz w:val="20"/>
          <w:szCs w:val="20"/>
        </w:rPr>
        <w:t xml:space="preserve"> projektu</w:t>
      </w:r>
      <w:r w:rsidR="0075548E" w:rsidRPr="00B33A21">
        <w:rPr>
          <w:rStyle w:val="Odkaznapoznmkupodiarou"/>
          <w:rFonts w:asciiTheme="minorHAnsi" w:hAnsiTheme="minorHAnsi" w:cstheme="minorHAnsi"/>
          <w:b/>
          <w:sz w:val="20"/>
          <w:szCs w:val="20"/>
        </w:rPr>
        <w:footnoteReference w:id="2"/>
      </w:r>
    </w:p>
    <w:p w14:paraId="46FC318F" w14:textId="19044B02" w:rsidR="00A959AA" w:rsidRDefault="00A959AA" w:rsidP="00A959AA">
      <w:pPr>
        <w:pStyle w:val="Normlnywebov"/>
        <w:spacing w:before="0" w:beforeAutospacing="0" w:after="0" w:afterAutospacing="0"/>
        <w:jc w:val="both"/>
        <w:rPr>
          <w:rFonts w:asciiTheme="minorHAnsi" w:hAnsiTheme="minorHAnsi" w:cstheme="minorHAnsi"/>
          <w:b/>
          <w:sz w:val="20"/>
          <w:szCs w:val="22"/>
        </w:rPr>
      </w:pPr>
      <w:r w:rsidRPr="000677DB">
        <w:rPr>
          <w:rFonts w:asciiTheme="minorHAnsi" w:hAnsiTheme="minorHAnsi" w:cstheme="minorHAnsi"/>
          <w:b/>
          <w:sz w:val="20"/>
          <w:szCs w:val="22"/>
        </w:rPr>
        <w:t xml:space="preserve">Typ aktivity </w:t>
      </w:r>
      <w:r>
        <w:rPr>
          <w:rFonts w:asciiTheme="minorHAnsi" w:hAnsiTheme="minorHAnsi" w:cstheme="minorHAnsi"/>
          <w:b/>
          <w:sz w:val="20"/>
          <w:szCs w:val="22"/>
        </w:rPr>
        <w:t>–</w:t>
      </w:r>
      <w:r w:rsidRPr="000677DB">
        <w:rPr>
          <w:rFonts w:asciiTheme="minorHAnsi" w:hAnsiTheme="minorHAnsi" w:cstheme="minorHAnsi"/>
          <w:b/>
          <w:sz w:val="20"/>
          <w:szCs w:val="22"/>
        </w:rPr>
        <w:t xml:space="preserve"> </w:t>
      </w:r>
      <w:r w:rsidR="00B16A31">
        <w:rPr>
          <w:rFonts w:asciiTheme="minorHAnsi" w:hAnsiTheme="minorHAnsi" w:cstheme="minorHAnsi"/>
          <w:b/>
          <w:sz w:val="20"/>
          <w:szCs w:val="22"/>
        </w:rPr>
        <w:t xml:space="preserve">A: </w:t>
      </w:r>
      <w:r>
        <w:rPr>
          <w:rFonts w:asciiTheme="minorHAnsi" w:hAnsiTheme="minorHAnsi" w:cstheme="minorHAnsi"/>
          <w:b/>
          <w:sz w:val="20"/>
          <w:szCs w:val="22"/>
        </w:rPr>
        <w:t>Podpora systematického poskytovania sociálnych a asistenčných služieb v obciach s prítomnosťou MRK zameraných na zvýšenie zamestnateľnosti ľudí žijúcich v prostredí MRK (</w:t>
      </w:r>
      <w:r w:rsidR="000B7B37" w:rsidRPr="000B7B37">
        <w:rPr>
          <w:rFonts w:asciiTheme="minorHAnsi" w:hAnsiTheme="minorHAnsi" w:cstheme="minorHAnsi"/>
          <w:b/>
          <w:sz w:val="20"/>
          <w:szCs w:val="22"/>
        </w:rPr>
        <w:t>napr. TSP, komunitní pracovníci/pracovníčky v oblasti sociálnych služieb, miestne občianske hliadky, asistenti/asistentky bývania a iné asistenčné služby</w:t>
      </w:r>
      <w:r>
        <w:rPr>
          <w:rFonts w:asciiTheme="minorHAnsi" w:hAnsiTheme="minorHAnsi" w:cstheme="minorHAnsi"/>
          <w:b/>
          <w:sz w:val="20"/>
          <w:szCs w:val="22"/>
        </w:rPr>
        <w:t>)</w:t>
      </w:r>
      <w:r w:rsidR="00640BF9">
        <w:rPr>
          <w:rFonts w:asciiTheme="minorHAnsi" w:hAnsiTheme="minorHAnsi" w:cstheme="minorHAnsi"/>
          <w:b/>
          <w:sz w:val="20"/>
          <w:szCs w:val="22"/>
        </w:rPr>
        <w:t xml:space="preserve">, </w:t>
      </w:r>
      <w:r w:rsidR="00640BF9" w:rsidRPr="00640BF9">
        <w:rPr>
          <w:rFonts w:asciiTheme="minorHAnsi" w:hAnsiTheme="minorHAnsi" w:cstheme="minorHAnsi"/>
          <w:b/>
          <w:sz w:val="20"/>
          <w:szCs w:val="22"/>
        </w:rPr>
        <w:t xml:space="preserve">vrátane zaobstarania nevyhnutného zdravotníckeho alebo sanitárneho vybavenia súvisiaceho s poskytovaním predmetných služieb v lokalitách postihnutých epidémiami ako napr. Covid </w:t>
      </w:r>
      <w:r w:rsidR="00640BF9">
        <w:rPr>
          <w:rFonts w:asciiTheme="minorHAnsi" w:hAnsiTheme="minorHAnsi" w:cstheme="minorHAnsi"/>
          <w:b/>
          <w:sz w:val="20"/>
          <w:szCs w:val="22"/>
        </w:rPr>
        <w:t>–</w:t>
      </w:r>
      <w:r w:rsidR="00640BF9" w:rsidRPr="00640BF9">
        <w:rPr>
          <w:rFonts w:asciiTheme="minorHAnsi" w:hAnsiTheme="minorHAnsi" w:cstheme="minorHAnsi"/>
          <w:b/>
          <w:sz w:val="20"/>
          <w:szCs w:val="22"/>
        </w:rPr>
        <w:t xml:space="preserve"> 19</w:t>
      </w:r>
      <w:r w:rsidR="00640BF9">
        <w:rPr>
          <w:rFonts w:asciiTheme="minorHAnsi" w:hAnsiTheme="minorHAnsi" w:cstheme="minorHAnsi"/>
          <w:b/>
          <w:sz w:val="20"/>
          <w:szCs w:val="22"/>
        </w:rPr>
        <w:t>.</w:t>
      </w:r>
    </w:p>
    <w:p w14:paraId="09EC2A50" w14:textId="77777777" w:rsidR="007D40D4" w:rsidRPr="00785899" w:rsidRDefault="007D40D4" w:rsidP="00A959AA">
      <w:pPr>
        <w:pStyle w:val="Normlnywebov"/>
        <w:spacing w:before="0" w:beforeAutospacing="0" w:after="0" w:afterAutospacing="0"/>
        <w:jc w:val="both"/>
      </w:pPr>
    </w:p>
    <w:tbl>
      <w:tblPr>
        <w:tblStyle w:val="Mriekatabuky"/>
        <w:tblW w:w="1474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985"/>
        <w:gridCol w:w="3686"/>
        <w:gridCol w:w="9072"/>
      </w:tblGrid>
      <w:tr w:rsidR="00402E62" w:rsidRPr="00B33A21" w14:paraId="2E977950" w14:textId="5623BD62" w:rsidTr="005E5AE5">
        <w:tc>
          <w:tcPr>
            <w:tcW w:w="1985" w:type="dxa"/>
            <w:shd w:val="clear" w:color="auto" w:fill="F4B083" w:themeFill="accent2" w:themeFillTint="99"/>
          </w:tcPr>
          <w:p w14:paraId="3931BD9E" w14:textId="396161EE" w:rsidR="00402E62" w:rsidRPr="00110BD8" w:rsidRDefault="00402E62" w:rsidP="003D48A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0BD8">
              <w:rPr>
                <w:rFonts w:asciiTheme="minorHAnsi" w:hAnsiTheme="minorHAnsi" w:cstheme="minorHAnsi"/>
                <w:b/>
                <w:sz w:val="20"/>
                <w:szCs w:val="20"/>
              </w:rPr>
              <w:t>Hlavná aktivita</w:t>
            </w:r>
          </w:p>
        </w:tc>
        <w:tc>
          <w:tcPr>
            <w:tcW w:w="3686" w:type="dxa"/>
            <w:shd w:val="clear" w:color="auto" w:fill="F4B083" w:themeFill="accent2" w:themeFillTint="99"/>
          </w:tcPr>
          <w:p w14:paraId="23988E4A" w14:textId="4CF6C2EA" w:rsidR="00402E62" w:rsidRPr="00110BD8" w:rsidRDefault="00402E62" w:rsidP="003D48A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0BD8">
              <w:rPr>
                <w:rFonts w:asciiTheme="minorHAnsi" w:hAnsiTheme="minorHAnsi" w:cstheme="minorHAnsi"/>
                <w:b/>
                <w:sz w:val="20"/>
                <w:szCs w:val="20"/>
              </w:rPr>
              <w:t>Sledovaný údaj projektu</w:t>
            </w:r>
          </w:p>
        </w:tc>
        <w:tc>
          <w:tcPr>
            <w:tcW w:w="9072" w:type="dxa"/>
            <w:shd w:val="clear" w:color="auto" w:fill="F4B083" w:themeFill="accent2" w:themeFillTint="99"/>
          </w:tcPr>
          <w:p w14:paraId="34253E35" w14:textId="29ED0EF3" w:rsidR="00402E62" w:rsidRPr="00110BD8" w:rsidRDefault="00402E62" w:rsidP="003D48A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0BD8">
              <w:rPr>
                <w:rFonts w:asciiTheme="minorHAnsi" w:hAnsiTheme="minorHAnsi" w:cstheme="minorHAnsi"/>
                <w:b/>
                <w:sz w:val="20"/>
                <w:szCs w:val="20"/>
              </w:rPr>
              <w:t>Definícia sledovaného údaju projektu</w:t>
            </w:r>
          </w:p>
        </w:tc>
      </w:tr>
      <w:tr w:rsidR="00D722CD" w:rsidRPr="00B33A21" w14:paraId="76B10AAD" w14:textId="77777777" w:rsidTr="005E5AE5">
        <w:trPr>
          <w:trHeight w:val="77"/>
        </w:trPr>
        <w:tc>
          <w:tcPr>
            <w:tcW w:w="1985" w:type="dxa"/>
            <w:vMerge w:val="restart"/>
            <w:shd w:val="clear" w:color="auto" w:fill="FBE4D5" w:themeFill="accent2" w:themeFillTint="33"/>
            <w:vAlign w:val="center"/>
          </w:tcPr>
          <w:p w14:paraId="5C040651" w14:textId="0ED506C0" w:rsidR="00D722CD" w:rsidRPr="00B33A21" w:rsidRDefault="00D722CD" w:rsidP="0083550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16FA0">
              <w:rPr>
                <w:rFonts w:asciiTheme="minorHAnsi" w:hAnsiTheme="minorHAnsi"/>
                <w:b/>
                <w:sz w:val="20"/>
              </w:rPr>
              <w:t>Podpora komplexného poskytovania miestnej občianskej poriadkovej služby v obciach s prítomnosťou MRK</w:t>
            </w:r>
          </w:p>
        </w:tc>
        <w:tc>
          <w:tcPr>
            <w:tcW w:w="3686" w:type="dxa"/>
            <w:vAlign w:val="center"/>
          </w:tcPr>
          <w:p w14:paraId="21733801" w14:textId="20A10A04" w:rsidR="00D722CD" w:rsidRPr="00C669CE" w:rsidRDefault="00D722CD" w:rsidP="00A959AA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Počet riešených udalostí</w:t>
            </w:r>
            <w:r w:rsidRPr="00A959A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/>
                <w:sz w:val="20"/>
                <w:szCs w:val="20"/>
              </w:rPr>
              <w:t>v oblasti ochrany maloletých a mladistvých osôb v spolupráci s PZ SR/obecnou políciou</w:t>
            </w:r>
          </w:p>
        </w:tc>
        <w:tc>
          <w:tcPr>
            <w:tcW w:w="9072" w:type="dxa"/>
            <w:vAlign w:val="center"/>
          </w:tcPr>
          <w:p w14:paraId="5C384B63" w14:textId="0073ACB5" w:rsidR="00D722CD" w:rsidRPr="00C669CE" w:rsidRDefault="00D722CD" w:rsidP="002876C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Počet riešených udalostí, ktoré v spolupráci s PZ SR/obecnom políciou riešili pracovníci MOPS medzi obyvateľmi MRK a ktoré sa týkali ochrany detí a mladistvých (napr. kontrola</w:t>
            </w:r>
            <w:r w:rsidRPr="002876CE">
              <w:rPr>
                <w:rFonts w:asciiTheme="minorHAnsi" w:hAnsiTheme="minorHAnsi" w:cstheme="minorHAnsi"/>
                <w:sz w:val="20"/>
                <w:szCs w:val="20"/>
              </w:rPr>
              <w:t xml:space="preserve"> maloletých osôb do 15 rokov a mladistvých osôb do 18 rokov, ktoré sa zdržiavajú bez dozoru zákonných zástupcov po 21.00 hod. na verejne prístupných miestach, v ktorých sa podávajú alkoholické nápoje, alebo požívajú alkoholic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ké nápoje a iné návykové látky a pod.)</w:t>
            </w:r>
          </w:p>
        </w:tc>
      </w:tr>
      <w:tr w:rsidR="00D722CD" w:rsidRPr="00B33A21" w14:paraId="4CF73067" w14:textId="77777777" w:rsidTr="005E5AE5">
        <w:trPr>
          <w:trHeight w:val="108"/>
        </w:trPr>
        <w:tc>
          <w:tcPr>
            <w:tcW w:w="1985" w:type="dxa"/>
            <w:vMerge/>
            <w:shd w:val="clear" w:color="auto" w:fill="FBE4D5" w:themeFill="accent2" w:themeFillTint="33"/>
          </w:tcPr>
          <w:p w14:paraId="3E023740" w14:textId="77777777" w:rsidR="00D722CD" w:rsidRPr="00B33A21" w:rsidRDefault="00D722CD" w:rsidP="0074574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760E6D23" w14:textId="6C4DD1BA" w:rsidR="00D722CD" w:rsidRDefault="00D722CD" w:rsidP="00BC3A3C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Počet riešených udalostí v oblasti podpory dochádzky do školy u maloletých osôb</w:t>
            </w:r>
          </w:p>
        </w:tc>
        <w:tc>
          <w:tcPr>
            <w:tcW w:w="9072" w:type="dxa"/>
            <w:vAlign w:val="center"/>
          </w:tcPr>
          <w:p w14:paraId="227DBE38" w14:textId="2D45145B" w:rsidR="00D722CD" w:rsidRDefault="00D722CD" w:rsidP="007D40D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Počet riešených udalostí súvisiacich s odhaľovaním vynechávania školskej dochádzky u školopovinných detí (napr. stretnutia na informovanie o školopovinnej dochádzke detí; odhaľovanie záškoláctva a následne riešenie situácie napr. odvozom detí do školy, pohovorom s rodičmi apod.) </w:t>
            </w:r>
          </w:p>
        </w:tc>
      </w:tr>
      <w:tr w:rsidR="00D722CD" w:rsidRPr="00B33A21" w14:paraId="16C65CC3" w14:textId="77777777" w:rsidTr="005E5AE5">
        <w:trPr>
          <w:trHeight w:val="108"/>
        </w:trPr>
        <w:tc>
          <w:tcPr>
            <w:tcW w:w="1985" w:type="dxa"/>
            <w:vMerge/>
            <w:shd w:val="clear" w:color="auto" w:fill="FBE4D5" w:themeFill="accent2" w:themeFillTint="33"/>
          </w:tcPr>
          <w:p w14:paraId="3442BE66" w14:textId="77777777" w:rsidR="00D722CD" w:rsidRPr="00B33A21" w:rsidRDefault="00D722CD" w:rsidP="0074574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7F8F2166" w14:textId="126A719F" w:rsidR="00D722CD" w:rsidRDefault="00D722CD" w:rsidP="0074574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Počet riešených udalostí v oblasti ochrany životného prostredia</w:t>
            </w:r>
          </w:p>
        </w:tc>
        <w:tc>
          <w:tcPr>
            <w:tcW w:w="9072" w:type="dxa"/>
            <w:vAlign w:val="center"/>
          </w:tcPr>
          <w:p w14:paraId="310137CC" w14:textId="03028A7C" w:rsidR="00D722CD" w:rsidRDefault="00D722CD" w:rsidP="00F26F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Počet riešených udalostí súvisiacich s ochranou životného prostredia obyvateľov v danej lokalite (napr. stretnutia na informovanie o nakladaní s odpadmi, ochranou prírody apod.; odhaľovanie a nahlásenie prípadov</w:t>
            </w:r>
            <w:r w:rsidRPr="001F20A3">
              <w:rPr>
                <w:rFonts w:asciiTheme="minorHAnsi" w:hAnsiTheme="minorHAnsi" w:cstheme="minorHAnsi"/>
                <w:sz w:val="20"/>
                <w:szCs w:val="20"/>
              </w:rPr>
              <w:t xml:space="preserve"> nelegálnych skládok komunálneho 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/alebo</w:t>
            </w:r>
            <w:r w:rsidRPr="001F20A3">
              <w:rPr>
                <w:rFonts w:asciiTheme="minorHAnsi" w:hAnsiTheme="minorHAnsi" w:cstheme="minorHAnsi"/>
                <w:sz w:val="20"/>
                <w:szCs w:val="20"/>
              </w:rPr>
              <w:t xml:space="preserve"> stavebného odpadu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; prijímanie opatrení</w:t>
            </w:r>
            <w:r w:rsidRPr="001F20A3">
              <w:rPr>
                <w:rFonts w:asciiTheme="minorHAnsi" w:hAnsiTheme="minorHAnsi" w:cstheme="minorHAnsi"/>
                <w:sz w:val="20"/>
                <w:szCs w:val="20"/>
              </w:rPr>
              <w:t xml:space="preserve"> na zabránenie protiprávne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ho konania ako </w:t>
            </w:r>
            <w:r w:rsidRPr="001F20A3">
              <w:rPr>
                <w:rFonts w:asciiTheme="minorHAnsi" w:hAnsiTheme="minorHAnsi" w:cstheme="minorHAnsi"/>
                <w:sz w:val="20"/>
                <w:szCs w:val="20"/>
              </w:rPr>
              <w:t>zákaz sypania odpadu mimo odpadových nádob, do potoka,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zakladania nelegálnych skládok,  </w:t>
            </w:r>
            <w:r w:rsidRPr="00F26FB4">
              <w:rPr>
                <w:rFonts w:asciiTheme="minorHAnsi" w:hAnsiTheme="minorHAnsi" w:cstheme="minorHAnsi"/>
                <w:sz w:val="20"/>
                <w:szCs w:val="20"/>
              </w:rPr>
              <w:t>vypaľovania trávy, lesných a lúčnych porastov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;</w:t>
            </w:r>
            <w:r w:rsidRPr="00F26FB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043E0F">
              <w:rPr>
                <w:rFonts w:asciiTheme="minorHAnsi" w:hAnsiTheme="minorHAnsi" w:cstheme="minorHAnsi"/>
                <w:sz w:val="20"/>
                <w:szCs w:val="20"/>
              </w:rPr>
              <w:t xml:space="preserve">dodržiavanie zákazu zakladania ohňov na miestach, ktoré na to nie sú určené a kde hrozí následný požiar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a pod.)</w:t>
            </w:r>
          </w:p>
        </w:tc>
      </w:tr>
      <w:tr w:rsidR="00D722CD" w:rsidRPr="00B33A21" w14:paraId="5338E50F" w14:textId="77777777" w:rsidTr="005E5AE5">
        <w:trPr>
          <w:trHeight w:val="108"/>
        </w:trPr>
        <w:tc>
          <w:tcPr>
            <w:tcW w:w="1985" w:type="dxa"/>
            <w:vMerge/>
            <w:shd w:val="clear" w:color="auto" w:fill="FBE4D5" w:themeFill="accent2" w:themeFillTint="33"/>
          </w:tcPr>
          <w:p w14:paraId="20635E69" w14:textId="77777777" w:rsidR="00D722CD" w:rsidRPr="00B33A21" w:rsidRDefault="00D722CD" w:rsidP="0074574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1F299612" w14:textId="1D5752DF" w:rsidR="00D722CD" w:rsidRDefault="00D722CD" w:rsidP="0074574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Počet riešených udalostí v oblasti ochrany majetku</w:t>
            </w:r>
          </w:p>
        </w:tc>
        <w:tc>
          <w:tcPr>
            <w:tcW w:w="9072" w:type="dxa"/>
            <w:vAlign w:val="center"/>
          </w:tcPr>
          <w:p w14:paraId="196F05A9" w14:textId="012D2ECE" w:rsidR="00D722CD" w:rsidRDefault="00D722CD" w:rsidP="00F26FB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Počet riešených udalostí súvisiacich s ochranou majetku obyvateľov obce (napr. stretnutia na informovanie o ochrane majetku osôb; zisťovanie</w:t>
            </w:r>
            <w:r w:rsidRPr="00F26FB4">
              <w:rPr>
                <w:rFonts w:asciiTheme="minorHAnsi" w:hAnsiTheme="minorHAnsi" w:cstheme="minorHAnsi"/>
                <w:sz w:val="20"/>
                <w:szCs w:val="20"/>
              </w:rPr>
              <w:t xml:space="preserve"> vinníkov poškodzovania vozidiel, objektov a zranenia osôb, ku ktorým dochádza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napr. </w:t>
            </w:r>
            <w:r w:rsidRPr="00F26FB4">
              <w:rPr>
                <w:rFonts w:asciiTheme="minorHAnsi" w:hAnsiTheme="minorHAnsi" w:cstheme="minorHAnsi"/>
                <w:sz w:val="20"/>
                <w:szCs w:val="20"/>
              </w:rPr>
              <w:t>vplyvom hádzania kameňov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; nahlasovanie požiarov a pod.)</w:t>
            </w:r>
          </w:p>
        </w:tc>
      </w:tr>
      <w:tr w:rsidR="00D722CD" w:rsidRPr="00B33A21" w14:paraId="47AC00B7" w14:textId="77777777" w:rsidTr="005E5AE5">
        <w:trPr>
          <w:trHeight w:val="108"/>
        </w:trPr>
        <w:tc>
          <w:tcPr>
            <w:tcW w:w="1985" w:type="dxa"/>
            <w:vMerge/>
            <w:shd w:val="clear" w:color="auto" w:fill="FBE4D5" w:themeFill="accent2" w:themeFillTint="33"/>
          </w:tcPr>
          <w:p w14:paraId="1EF3A2E5" w14:textId="77777777" w:rsidR="00D722CD" w:rsidRPr="00B33A21" w:rsidRDefault="00D722CD" w:rsidP="0074574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03BCDFA5" w14:textId="3791358F" w:rsidR="00D722CD" w:rsidRDefault="00D722CD" w:rsidP="0074574D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Počet riešených udalostí v oblasti ochrany zdravia a života</w:t>
            </w:r>
          </w:p>
        </w:tc>
        <w:tc>
          <w:tcPr>
            <w:tcW w:w="9072" w:type="dxa"/>
            <w:vAlign w:val="center"/>
          </w:tcPr>
          <w:p w14:paraId="7FDC761C" w14:textId="76A4ADEE" w:rsidR="00D722CD" w:rsidRDefault="00D722CD" w:rsidP="0010494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Počet riešených udalostí súvisiacich s ochranou zdravia a života obyvateľov obce (napr. stretnutia na informovanie o ochrane zdravia a zdravotnej prevencie; stretnutia na informovanie o vedení motorových a nemotorových vozidiel pod vplyvom alkoholu, bez vodičského oprávnenia apod.; nahlásenie vedenia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motorového alebo nemotorového vozidla vodičom pod vplyvom alkoholu alebo bez vodičského oprávnenia na PZ SR a pod.)</w:t>
            </w:r>
          </w:p>
        </w:tc>
      </w:tr>
    </w:tbl>
    <w:p w14:paraId="6D915CCD" w14:textId="62BA8B67" w:rsidR="00D722CD" w:rsidRDefault="00D722CD" w:rsidP="00D46266">
      <w:pPr>
        <w:spacing w:line="259" w:lineRule="auto"/>
        <w:rPr>
          <w:rFonts w:asciiTheme="minorHAnsi" w:hAnsiTheme="minorHAnsi" w:cstheme="minorHAnsi"/>
          <w:b/>
          <w:sz w:val="20"/>
          <w:szCs w:val="20"/>
        </w:rPr>
      </w:pPr>
    </w:p>
    <w:p w14:paraId="28B92B30" w14:textId="77777777" w:rsidR="00D722CD" w:rsidRDefault="00D722CD" w:rsidP="00D46266">
      <w:pPr>
        <w:spacing w:line="259" w:lineRule="auto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Mriekatabuky"/>
        <w:tblW w:w="1474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1985"/>
        <w:gridCol w:w="3686"/>
        <w:gridCol w:w="9072"/>
      </w:tblGrid>
      <w:tr w:rsidR="00D722CD" w:rsidRPr="00B33A21" w14:paraId="721F8F4B" w14:textId="77777777" w:rsidTr="00432339">
        <w:tc>
          <w:tcPr>
            <w:tcW w:w="1985" w:type="dxa"/>
            <w:shd w:val="clear" w:color="auto" w:fill="F4B083" w:themeFill="accent2" w:themeFillTint="99"/>
          </w:tcPr>
          <w:p w14:paraId="26732747" w14:textId="77777777" w:rsidR="00D722CD" w:rsidRPr="00110BD8" w:rsidRDefault="00D722CD" w:rsidP="0043233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0BD8">
              <w:rPr>
                <w:rFonts w:asciiTheme="minorHAnsi" w:hAnsiTheme="minorHAnsi" w:cstheme="minorHAnsi"/>
                <w:b/>
                <w:sz w:val="20"/>
                <w:szCs w:val="20"/>
              </w:rPr>
              <w:t>Hlavná aktivita</w:t>
            </w:r>
          </w:p>
        </w:tc>
        <w:tc>
          <w:tcPr>
            <w:tcW w:w="3686" w:type="dxa"/>
            <w:shd w:val="clear" w:color="auto" w:fill="F4B083" w:themeFill="accent2" w:themeFillTint="99"/>
          </w:tcPr>
          <w:p w14:paraId="2AB695FA" w14:textId="77777777" w:rsidR="00D722CD" w:rsidRPr="00110BD8" w:rsidRDefault="00D722CD" w:rsidP="0043233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0BD8">
              <w:rPr>
                <w:rFonts w:asciiTheme="minorHAnsi" w:hAnsiTheme="minorHAnsi" w:cstheme="minorHAnsi"/>
                <w:b/>
                <w:sz w:val="20"/>
                <w:szCs w:val="20"/>
              </w:rPr>
              <w:t>Sledovaný údaj projektu</w:t>
            </w:r>
          </w:p>
        </w:tc>
        <w:tc>
          <w:tcPr>
            <w:tcW w:w="9072" w:type="dxa"/>
            <w:shd w:val="clear" w:color="auto" w:fill="F4B083" w:themeFill="accent2" w:themeFillTint="99"/>
          </w:tcPr>
          <w:p w14:paraId="39A460BA" w14:textId="77777777" w:rsidR="00D722CD" w:rsidRPr="00110BD8" w:rsidRDefault="00D722CD" w:rsidP="00432339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10BD8">
              <w:rPr>
                <w:rFonts w:asciiTheme="minorHAnsi" w:hAnsiTheme="minorHAnsi" w:cstheme="minorHAnsi"/>
                <w:b/>
                <w:sz w:val="20"/>
                <w:szCs w:val="20"/>
              </w:rPr>
              <w:t>Definícia sledovaného údaju projektu</w:t>
            </w:r>
          </w:p>
        </w:tc>
      </w:tr>
      <w:tr w:rsidR="0083550A" w:rsidRPr="00B33A21" w14:paraId="381B93C3" w14:textId="77777777" w:rsidTr="006D0F06">
        <w:trPr>
          <w:trHeight w:val="108"/>
        </w:trPr>
        <w:tc>
          <w:tcPr>
            <w:tcW w:w="1985" w:type="dxa"/>
            <w:vMerge w:val="restart"/>
            <w:shd w:val="clear" w:color="auto" w:fill="FBE4D5" w:themeFill="accent2" w:themeFillTint="33"/>
            <w:vAlign w:val="center"/>
          </w:tcPr>
          <w:p w14:paraId="5F87313E" w14:textId="35A71128" w:rsidR="0083550A" w:rsidRPr="00B33A21" w:rsidRDefault="0083550A" w:rsidP="004323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16FA0">
              <w:rPr>
                <w:rFonts w:asciiTheme="minorHAnsi" w:hAnsiTheme="minorHAnsi"/>
                <w:b/>
                <w:sz w:val="20"/>
              </w:rPr>
              <w:t>Podpora komplexného poskytovania miestnej občianskej poriadkovej služby v obciach s prítomnosťou MRK</w:t>
            </w:r>
          </w:p>
        </w:tc>
        <w:tc>
          <w:tcPr>
            <w:tcW w:w="3686" w:type="dxa"/>
            <w:vAlign w:val="center"/>
          </w:tcPr>
          <w:p w14:paraId="60790345" w14:textId="2CC1C123" w:rsidR="0083550A" w:rsidRDefault="006D0F06" w:rsidP="0043233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Počet riešených</w:t>
            </w:r>
            <w:r w:rsidR="0083550A" w:rsidRPr="00A959AA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83550A">
              <w:rPr>
                <w:rFonts w:asciiTheme="minorHAnsi" w:hAnsiTheme="minorHAnsi"/>
                <w:sz w:val="20"/>
                <w:szCs w:val="20"/>
              </w:rPr>
              <w:t>udalostí medzi osobami z MRK a väčšinovým obyvateľstvom</w:t>
            </w:r>
          </w:p>
        </w:tc>
        <w:tc>
          <w:tcPr>
            <w:tcW w:w="9072" w:type="dxa"/>
            <w:vAlign w:val="center"/>
          </w:tcPr>
          <w:p w14:paraId="1D7F4F8D" w14:textId="77777777" w:rsidR="0083550A" w:rsidRPr="00C669CE" w:rsidRDefault="0083550A" w:rsidP="004323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Počet riešených udalostí, ktoré riešili pracovníci MOPS medzi obyvateľmi MRK a väčšinovým obyvateľstvom (napr. v oblasti ochrany maloletých a mladistvých osôb, ochrany majetku, ochrany životného prostredia, ochrany zdravia a života apod.) </w:t>
            </w:r>
          </w:p>
        </w:tc>
      </w:tr>
      <w:tr w:rsidR="0083550A" w:rsidRPr="00B33A21" w14:paraId="2D6B91F7" w14:textId="77777777" w:rsidTr="00432339">
        <w:trPr>
          <w:trHeight w:val="58"/>
        </w:trPr>
        <w:tc>
          <w:tcPr>
            <w:tcW w:w="1985" w:type="dxa"/>
            <w:vMerge/>
            <w:shd w:val="clear" w:color="auto" w:fill="FBE4D5" w:themeFill="accent2" w:themeFillTint="33"/>
          </w:tcPr>
          <w:p w14:paraId="2F813C62" w14:textId="77777777" w:rsidR="0083550A" w:rsidRPr="00B33A21" w:rsidRDefault="0083550A" w:rsidP="0043233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0BF648DB" w14:textId="77777777" w:rsidR="0083550A" w:rsidRDefault="0083550A" w:rsidP="00432339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Počet riešených udalostí medzi MRK a väčšinového obyvateľstva s pomocou hliadky PZ</w:t>
            </w:r>
            <w:r w:rsidRPr="00A959AA">
              <w:rPr>
                <w:rFonts w:asciiTheme="minorHAnsi" w:hAnsiTheme="minorHAnsi"/>
                <w:sz w:val="20"/>
                <w:szCs w:val="20"/>
              </w:rPr>
              <w:t xml:space="preserve"> SR</w:t>
            </w:r>
            <w:r>
              <w:rPr>
                <w:rFonts w:asciiTheme="minorHAnsi" w:hAnsiTheme="minorHAnsi"/>
                <w:sz w:val="20"/>
                <w:szCs w:val="20"/>
              </w:rPr>
              <w:t>/obecnej polície</w:t>
            </w:r>
          </w:p>
        </w:tc>
        <w:tc>
          <w:tcPr>
            <w:tcW w:w="9072" w:type="dxa"/>
            <w:vAlign w:val="center"/>
          </w:tcPr>
          <w:p w14:paraId="0255B774" w14:textId="77777777" w:rsidR="0083550A" w:rsidRPr="00C669CE" w:rsidRDefault="0083550A" w:rsidP="004323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Počet riešených udalostí medzi obyvateľmi MRK, ku ktorým museli pracovníci MOPS privolať hliadku PZ SR </w:t>
            </w:r>
            <w:r w:rsidRPr="002876CE">
              <w:rPr>
                <w:rFonts w:asciiTheme="minorHAnsi" w:hAnsiTheme="minorHAnsi" w:cstheme="minorHAnsi"/>
                <w:sz w:val="20"/>
                <w:szCs w:val="20"/>
              </w:rPr>
              <w:t>(napr. v oblasti ochrany maloletých a mladistvých osôb, ochrany majetku, ochrany životného prostredia apod.)</w:t>
            </w:r>
          </w:p>
        </w:tc>
      </w:tr>
      <w:tr w:rsidR="0083550A" w:rsidRPr="00B33A21" w14:paraId="6F4E779E" w14:textId="77777777" w:rsidTr="00432339">
        <w:trPr>
          <w:trHeight w:val="140"/>
        </w:trPr>
        <w:tc>
          <w:tcPr>
            <w:tcW w:w="1985" w:type="dxa"/>
            <w:vMerge/>
            <w:shd w:val="clear" w:color="auto" w:fill="FBE4D5" w:themeFill="accent2" w:themeFillTint="33"/>
          </w:tcPr>
          <w:p w14:paraId="10D09199" w14:textId="3DA7C4A8" w:rsidR="0083550A" w:rsidRPr="00B33A21" w:rsidRDefault="0083550A" w:rsidP="008802C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2C6E4CB6" w14:textId="77E1920B" w:rsidR="0083550A" w:rsidRDefault="0083550A" w:rsidP="008802C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Počet hlásení na PZ SR/obecnú políciu o pohybe cudzích osôb a/alebo motorových vozidiel v obci </w:t>
            </w:r>
          </w:p>
        </w:tc>
        <w:tc>
          <w:tcPr>
            <w:tcW w:w="9072" w:type="dxa"/>
            <w:vAlign w:val="center"/>
          </w:tcPr>
          <w:p w14:paraId="1E81A974" w14:textId="5857DC35" w:rsidR="0083550A" w:rsidRDefault="0083550A" w:rsidP="008802C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Počet hlásení pracovníkov MOPS na P</w:t>
            </w:r>
            <w:r w:rsidRPr="004B0A49">
              <w:rPr>
                <w:rFonts w:asciiTheme="minorHAnsi" w:hAnsiTheme="minorHAnsi" w:cstheme="minorHAnsi"/>
                <w:sz w:val="20"/>
                <w:szCs w:val="20"/>
              </w:rPr>
              <w:t>Z SR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/obecnú políciu o</w:t>
            </w:r>
            <w:r w:rsidRPr="004B0A49">
              <w:rPr>
                <w:rFonts w:asciiTheme="minorHAnsi" w:hAnsiTheme="minorHAnsi" w:cstheme="minorHAnsi"/>
                <w:sz w:val="20"/>
                <w:szCs w:val="20"/>
              </w:rPr>
              <w:t xml:space="preserve"> pohyb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</w:t>
            </w:r>
            <w:r w:rsidRPr="004B0A49">
              <w:rPr>
                <w:rFonts w:asciiTheme="minorHAnsi" w:hAnsiTheme="minorHAnsi" w:cstheme="minorHAnsi"/>
                <w:sz w:val="20"/>
                <w:szCs w:val="20"/>
              </w:rPr>
              <w:t xml:space="preserve"> cudzích osôb a motorových vozidiel v obci v neskorých večerných a nočných hodinách a počas víkendov a sviatkov</w:t>
            </w:r>
          </w:p>
        </w:tc>
      </w:tr>
      <w:tr w:rsidR="0083550A" w:rsidRPr="00B33A21" w14:paraId="37C4BA56" w14:textId="77777777" w:rsidTr="00432339">
        <w:trPr>
          <w:trHeight w:val="140"/>
        </w:trPr>
        <w:tc>
          <w:tcPr>
            <w:tcW w:w="1985" w:type="dxa"/>
            <w:vMerge/>
            <w:shd w:val="clear" w:color="auto" w:fill="FBE4D5" w:themeFill="accent2" w:themeFillTint="33"/>
          </w:tcPr>
          <w:p w14:paraId="664DEE63" w14:textId="77777777" w:rsidR="0083550A" w:rsidRPr="00B33A21" w:rsidRDefault="0083550A" w:rsidP="008802C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56BF280D" w14:textId="77777777" w:rsidR="0083550A" w:rsidRDefault="0083550A" w:rsidP="008802C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Počet spoluorganizovaných podujatí v obci</w:t>
            </w:r>
          </w:p>
        </w:tc>
        <w:tc>
          <w:tcPr>
            <w:tcW w:w="9072" w:type="dxa"/>
            <w:vAlign w:val="center"/>
          </w:tcPr>
          <w:p w14:paraId="7E705DA0" w14:textId="77777777" w:rsidR="0083550A" w:rsidRDefault="0083550A" w:rsidP="008802C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Počet podujatí, na príprave a organizácii ktorých spolupracovali pracovníci MOPS </w:t>
            </w:r>
            <w:r w:rsidRPr="00615B70">
              <w:rPr>
                <w:rFonts w:asciiTheme="minorHAnsi" w:hAnsiTheme="minorHAnsi" w:cstheme="minorHAnsi"/>
                <w:sz w:val="20"/>
                <w:szCs w:val="20"/>
              </w:rPr>
              <w:t>po predchádzajúcom súhlase starostu obce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. Do súčtu sa započítavajú všetky kultúrne, športové alebo iné podujatia organizované obcou</w:t>
            </w:r>
          </w:p>
        </w:tc>
      </w:tr>
      <w:tr w:rsidR="0083550A" w:rsidRPr="00B33A21" w14:paraId="2EF5EE33" w14:textId="77777777" w:rsidTr="00432339">
        <w:trPr>
          <w:trHeight w:val="109"/>
        </w:trPr>
        <w:tc>
          <w:tcPr>
            <w:tcW w:w="1985" w:type="dxa"/>
            <w:vMerge/>
            <w:shd w:val="clear" w:color="auto" w:fill="FBE4D5" w:themeFill="accent2" w:themeFillTint="33"/>
          </w:tcPr>
          <w:p w14:paraId="112D4EC9" w14:textId="77777777" w:rsidR="0083550A" w:rsidRPr="00B33A21" w:rsidRDefault="0083550A" w:rsidP="008802C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686" w:type="dxa"/>
            <w:vAlign w:val="center"/>
          </w:tcPr>
          <w:p w14:paraId="12342AD2" w14:textId="77777777" w:rsidR="0083550A" w:rsidRPr="00575B50" w:rsidRDefault="0083550A" w:rsidP="008802C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Počet nahlásených podozrení na nelegálny odber elektrickej energie</w:t>
            </w:r>
          </w:p>
        </w:tc>
        <w:tc>
          <w:tcPr>
            <w:tcW w:w="9072" w:type="dxa"/>
            <w:vAlign w:val="center"/>
          </w:tcPr>
          <w:p w14:paraId="765B7DCC" w14:textId="77777777" w:rsidR="0083550A" w:rsidRDefault="0083550A" w:rsidP="008802C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Počet </w:t>
            </w:r>
            <w:r w:rsidRPr="009769BD">
              <w:rPr>
                <w:rFonts w:asciiTheme="minorHAnsi" w:hAnsiTheme="minorHAnsi" w:cstheme="minorHAnsi"/>
                <w:sz w:val="20"/>
                <w:szCs w:val="20"/>
              </w:rPr>
              <w:t xml:space="preserve">podozrení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nahlásených pracovníkmi MOPS o nelegálnom</w:t>
            </w:r>
            <w:r w:rsidRPr="009769BD">
              <w:rPr>
                <w:rFonts w:asciiTheme="minorHAnsi" w:hAnsiTheme="minorHAnsi" w:cstheme="minorHAnsi"/>
                <w:sz w:val="20"/>
                <w:szCs w:val="20"/>
              </w:rPr>
              <w:t xml:space="preserve"> odber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e elektrickej energie na PZ</w:t>
            </w:r>
            <w:r w:rsidRPr="009769BD">
              <w:rPr>
                <w:rFonts w:asciiTheme="minorHAnsi" w:hAnsiTheme="minorHAnsi" w:cstheme="minorHAnsi"/>
                <w:sz w:val="20"/>
                <w:szCs w:val="20"/>
              </w:rPr>
              <w:t xml:space="preserve"> SR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44089DFE" w14:textId="4B9F0F48" w:rsidR="008122BE" w:rsidRDefault="008122BE" w:rsidP="00D722CD">
      <w:pPr>
        <w:spacing w:line="259" w:lineRule="auto"/>
        <w:rPr>
          <w:rFonts w:asciiTheme="minorHAnsi" w:hAnsiTheme="minorHAnsi" w:cstheme="minorHAnsi"/>
          <w:b/>
          <w:sz w:val="20"/>
          <w:szCs w:val="20"/>
        </w:rPr>
      </w:pPr>
    </w:p>
    <w:p w14:paraId="2C03CA6F" w14:textId="77777777" w:rsidR="00C275A5" w:rsidRPr="0083550A" w:rsidRDefault="00C275A5" w:rsidP="00C275A5">
      <w:pPr>
        <w:keepNext/>
        <w:keepLines/>
        <w:widowControl w:val="0"/>
        <w:tabs>
          <w:tab w:val="left" w:pos="851"/>
        </w:tabs>
        <w:overflowPunct w:val="0"/>
        <w:autoSpaceDE w:val="0"/>
        <w:autoSpaceDN w:val="0"/>
        <w:adjustRightInd w:val="0"/>
        <w:jc w:val="both"/>
        <w:outlineLvl w:val="2"/>
        <w:rPr>
          <w:rFonts w:asciiTheme="minorHAnsi" w:hAnsiTheme="minorHAnsi" w:cstheme="minorHAnsi"/>
          <w:b/>
          <w:bCs/>
          <w:noProof/>
          <w:color w:val="000000" w:themeColor="text1"/>
          <w:sz w:val="20"/>
          <w:szCs w:val="20"/>
          <w:u w:val="single"/>
          <w:lang w:eastAsia="cs-CZ"/>
        </w:rPr>
      </w:pPr>
      <w:r w:rsidRPr="0083550A">
        <w:rPr>
          <w:rFonts w:asciiTheme="minorHAnsi" w:hAnsiTheme="minorHAnsi" w:cstheme="minorHAnsi"/>
          <w:b/>
          <w:bCs/>
          <w:noProof/>
          <w:color w:val="000000" w:themeColor="text1"/>
          <w:sz w:val="20"/>
          <w:szCs w:val="20"/>
          <w:u w:val="single"/>
          <w:lang w:eastAsia="cs-CZ"/>
        </w:rPr>
        <w:t>Sledované údaje projektu nie sú podmienkou poskytnutia príspevku.</w:t>
      </w:r>
    </w:p>
    <w:p w14:paraId="2879CFB4" w14:textId="626054E4" w:rsidR="00C275A5" w:rsidRPr="0083550A" w:rsidRDefault="00C275A5" w:rsidP="00C275A5">
      <w:pPr>
        <w:jc w:val="both"/>
        <w:rPr>
          <w:rFonts w:asciiTheme="minorHAnsi" w:hAnsiTheme="minorHAnsi"/>
          <w:b/>
          <w:sz w:val="20"/>
          <w:szCs w:val="20"/>
        </w:rPr>
      </w:pPr>
      <w:r w:rsidRPr="0083550A">
        <w:rPr>
          <w:rFonts w:asciiTheme="minorHAnsi" w:hAnsiTheme="minorHAnsi"/>
          <w:b/>
          <w:sz w:val="20"/>
          <w:szCs w:val="20"/>
        </w:rPr>
        <w:t>SO identifikoval v závislosti od typu aktiv</w:t>
      </w:r>
      <w:r w:rsidR="00293B4E">
        <w:rPr>
          <w:rFonts w:asciiTheme="minorHAnsi" w:hAnsiTheme="minorHAnsi"/>
          <w:b/>
          <w:sz w:val="20"/>
          <w:szCs w:val="20"/>
        </w:rPr>
        <w:t>ity</w:t>
      </w:r>
      <w:r w:rsidRPr="0083550A">
        <w:rPr>
          <w:rFonts w:asciiTheme="minorHAnsi" w:hAnsiTheme="minorHAnsi"/>
          <w:b/>
          <w:sz w:val="20"/>
          <w:szCs w:val="20"/>
        </w:rPr>
        <w:t xml:space="preserve"> Sledované údaje projektu, ktorých zoznam je uvedený vyššie. Sledované údaje sú merateľné hodnoty odlišné od projektových merateľných ukazovateľov</w:t>
      </w:r>
      <w:r w:rsidR="0083550A" w:rsidRPr="0083550A">
        <w:rPr>
          <w:rFonts w:asciiTheme="minorHAnsi" w:hAnsiTheme="minorHAnsi"/>
          <w:b/>
          <w:sz w:val="20"/>
          <w:szCs w:val="20"/>
        </w:rPr>
        <w:t xml:space="preserve">. </w:t>
      </w:r>
      <w:r w:rsidRPr="0083550A">
        <w:rPr>
          <w:rFonts w:asciiTheme="minorHAnsi" w:hAnsiTheme="minorHAnsi"/>
          <w:b/>
          <w:sz w:val="20"/>
          <w:szCs w:val="20"/>
        </w:rPr>
        <w:t xml:space="preserve">Sledované údaje projektu je potrebné monitorovať pre potreby tvorby databáz pre externé hodnotenie na úrovni programu v zmysle Plánu hodnotení OP ĽZ na programové obdobie 2014-2020. </w:t>
      </w:r>
    </w:p>
    <w:p w14:paraId="31EEB3C1" w14:textId="77777777" w:rsidR="007746E7" w:rsidRDefault="007746E7" w:rsidP="00C275A5">
      <w:pPr>
        <w:jc w:val="both"/>
        <w:rPr>
          <w:rFonts w:asciiTheme="minorHAnsi" w:hAnsiTheme="minorHAnsi"/>
          <w:sz w:val="20"/>
          <w:szCs w:val="20"/>
        </w:rPr>
      </w:pPr>
    </w:p>
    <w:p w14:paraId="6421FBE3" w14:textId="01AEC94D" w:rsidR="00C275A5" w:rsidRPr="00C275A5" w:rsidRDefault="00C275A5" w:rsidP="00C275A5">
      <w:pPr>
        <w:jc w:val="both"/>
        <w:rPr>
          <w:rFonts w:asciiTheme="minorHAnsi" w:hAnsiTheme="minorHAnsi"/>
          <w:sz w:val="20"/>
          <w:szCs w:val="20"/>
        </w:rPr>
      </w:pPr>
      <w:r w:rsidRPr="00C275A5">
        <w:rPr>
          <w:rFonts w:asciiTheme="minorHAnsi" w:hAnsiTheme="minorHAnsi"/>
          <w:sz w:val="20"/>
          <w:szCs w:val="20"/>
        </w:rPr>
        <w:t xml:space="preserve">Úspešný žiadateľ v pozícii prijímateľa bude </w:t>
      </w:r>
      <w:r w:rsidR="00293B4E">
        <w:rPr>
          <w:rFonts w:asciiTheme="minorHAnsi" w:hAnsiTheme="minorHAnsi"/>
          <w:sz w:val="20"/>
          <w:szCs w:val="20"/>
        </w:rPr>
        <w:t>Zmluvou o NFP</w:t>
      </w:r>
      <w:r w:rsidRPr="00C275A5">
        <w:rPr>
          <w:rFonts w:asciiTheme="minorHAnsi" w:hAnsiTheme="minorHAnsi"/>
          <w:sz w:val="20"/>
          <w:szCs w:val="20"/>
        </w:rPr>
        <w:t xml:space="preserve"> zaviazaný na vykazovanie Sledovaných údajov prostredníctvom nasledovných monitorovacích dokumentov:</w:t>
      </w:r>
    </w:p>
    <w:p w14:paraId="06C928F5" w14:textId="77777777" w:rsidR="00C275A5" w:rsidRPr="00C275A5" w:rsidRDefault="00C275A5" w:rsidP="00C275A5">
      <w:pPr>
        <w:numPr>
          <w:ilvl w:val="0"/>
          <w:numId w:val="4"/>
        </w:numPr>
        <w:tabs>
          <w:tab w:val="left" w:pos="1134"/>
          <w:tab w:val="center" w:pos="4536"/>
          <w:tab w:val="right" w:pos="9072"/>
        </w:tabs>
        <w:ind w:left="721" w:firstLine="130"/>
        <w:jc w:val="both"/>
        <w:rPr>
          <w:rFonts w:asciiTheme="minorHAnsi" w:hAnsiTheme="minorHAnsi"/>
          <w:sz w:val="20"/>
          <w:szCs w:val="20"/>
        </w:rPr>
      </w:pPr>
      <w:r w:rsidRPr="00C275A5">
        <w:rPr>
          <w:rFonts w:asciiTheme="minorHAnsi" w:hAnsiTheme="minorHAnsi"/>
          <w:sz w:val="20"/>
          <w:szCs w:val="20"/>
        </w:rPr>
        <w:t>Doplňujúce monitorovacie údaje k žiadosti o platbu</w:t>
      </w:r>
    </w:p>
    <w:p w14:paraId="6E34EB49" w14:textId="77777777" w:rsidR="00C275A5" w:rsidRPr="00C275A5" w:rsidRDefault="00C275A5" w:rsidP="00C275A5">
      <w:pPr>
        <w:numPr>
          <w:ilvl w:val="0"/>
          <w:numId w:val="4"/>
        </w:numPr>
        <w:tabs>
          <w:tab w:val="left" w:pos="1134"/>
          <w:tab w:val="center" w:pos="4536"/>
          <w:tab w:val="right" w:pos="9072"/>
        </w:tabs>
        <w:ind w:left="721" w:firstLine="130"/>
        <w:jc w:val="both"/>
        <w:rPr>
          <w:rFonts w:asciiTheme="minorHAnsi" w:hAnsiTheme="minorHAnsi"/>
          <w:sz w:val="20"/>
          <w:szCs w:val="20"/>
        </w:rPr>
      </w:pPr>
      <w:r w:rsidRPr="00C275A5">
        <w:rPr>
          <w:rFonts w:asciiTheme="minorHAnsi" w:hAnsiTheme="minorHAnsi"/>
          <w:sz w:val="20"/>
          <w:szCs w:val="20"/>
        </w:rPr>
        <w:t>Doplňujúce monitorovacie údaje</w:t>
      </w:r>
    </w:p>
    <w:p w14:paraId="7F3336C4" w14:textId="77777777" w:rsidR="00C275A5" w:rsidRPr="00C275A5" w:rsidRDefault="00C275A5" w:rsidP="00C275A5">
      <w:pPr>
        <w:numPr>
          <w:ilvl w:val="0"/>
          <w:numId w:val="4"/>
        </w:numPr>
        <w:tabs>
          <w:tab w:val="left" w:pos="1134"/>
          <w:tab w:val="center" w:pos="4536"/>
          <w:tab w:val="right" w:pos="9072"/>
        </w:tabs>
        <w:ind w:left="721" w:firstLine="130"/>
        <w:jc w:val="both"/>
        <w:rPr>
          <w:rFonts w:asciiTheme="minorHAnsi" w:hAnsiTheme="minorHAnsi"/>
          <w:sz w:val="20"/>
          <w:szCs w:val="20"/>
        </w:rPr>
      </w:pPr>
      <w:r w:rsidRPr="00C275A5">
        <w:rPr>
          <w:rFonts w:asciiTheme="minorHAnsi" w:hAnsiTheme="minorHAnsi"/>
          <w:sz w:val="20"/>
          <w:szCs w:val="20"/>
        </w:rPr>
        <w:t>Monitorovacia správa s príznakom „výročná“ a „záverečná“</w:t>
      </w:r>
    </w:p>
    <w:p w14:paraId="3D6EBC5B" w14:textId="77777777" w:rsidR="00C275A5" w:rsidRPr="00C275A5" w:rsidRDefault="00C275A5" w:rsidP="00C275A5">
      <w:pPr>
        <w:jc w:val="both"/>
        <w:rPr>
          <w:rFonts w:asciiTheme="minorHAnsi" w:hAnsiTheme="minorHAnsi"/>
          <w:sz w:val="20"/>
          <w:szCs w:val="20"/>
        </w:rPr>
      </w:pPr>
    </w:p>
    <w:p w14:paraId="5C3CB26B" w14:textId="296D3723" w:rsidR="00C275A5" w:rsidRPr="00C275A5" w:rsidRDefault="00C275A5" w:rsidP="00C275A5">
      <w:pPr>
        <w:jc w:val="both"/>
        <w:rPr>
          <w:rFonts w:asciiTheme="minorHAnsi" w:hAnsiTheme="minorHAnsi"/>
          <w:sz w:val="20"/>
          <w:szCs w:val="20"/>
        </w:rPr>
      </w:pPr>
      <w:r w:rsidRPr="00C275A5">
        <w:rPr>
          <w:rFonts w:asciiTheme="minorHAnsi" w:hAnsiTheme="minorHAnsi"/>
          <w:sz w:val="20"/>
          <w:szCs w:val="20"/>
        </w:rPr>
        <w:t>Sledované údaje sa budú vykazovať v monitorovacích dokumentoch v požadovanej tabuľkovej forme, pričom žiadateľ ako budúci prijímateľ bude vykazovať sledované údaje za realizovanú hlavnú aktivitu projektu.</w:t>
      </w:r>
    </w:p>
    <w:p w14:paraId="1F959807" w14:textId="0D282263" w:rsidR="00C275A5" w:rsidRPr="00C275A5" w:rsidRDefault="00C275A5" w:rsidP="00C275A5">
      <w:pPr>
        <w:jc w:val="both"/>
        <w:rPr>
          <w:rFonts w:asciiTheme="minorHAnsi" w:hAnsiTheme="minorHAnsi"/>
          <w:sz w:val="20"/>
          <w:szCs w:val="20"/>
        </w:rPr>
      </w:pPr>
      <w:r w:rsidRPr="00C275A5">
        <w:rPr>
          <w:rFonts w:asciiTheme="minorHAnsi" w:hAnsiTheme="minorHAnsi"/>
          <w:sz w:val="20"/>
          <w:szCs w:val="20"/>
        </w:rPr>
        <w:t xml:space="preserve">Sledované údaje bude žiadateľ ako budúci prijímateľ poskytovať počas implementácie projektu. Žiadateľ pri vypĺňaní ŽoNFP nestanovuje cieľovú hodnotu sledovaných údajov a neuvádza ich ani do formuláru ŽoNFP, ani do žiadnej z príloh ŽoNFP. </w:t>
      </w:r>
    </w:p>
    <w:p w14:paraId="48F60043" w14:textId="4DF141AE" w:rsidR="00C275A5" w:rsidRPr="00C275A5" w:rsidRDefault="00C275A5" w:rsidP="00C275A5">
      <w:pPr>
        <w:jc w:val="both"/>
        <w:rPr>
          <w:rFonts w:asciiTheme="minorHAnsi" w:hAnsiTheme="minorHAnsi"/>
          <w:sz w:val="20"/>
          <w:szCs w:val="20"/>
        </w:rPr>
      </w:pPr>
      <w:r w:rsidRPr="00C275A5">
        <w:rPr>
          <w:rFonts w:asciiTheme="minorHAnsi" w:hAnsiTheme="minorHAnsi"/>
          <w:sz w:val="20"/>
          <w:szCs w:val="20"/>
        </w:rPr>
        <w:t xml:space="preserve">V priebehu implementácie projektu môže byť rozsah sledovaných údajov upravený (rozšírený, resp. zúžený) a poskytovanie týchto údajov bude prebiehať v súlade s podmienkami uvedenými v </w:t>
      </w:r>
      <w:r w:rsidR="00293B4E">
        <w:rPr>
          <w:rFonts w:asciiTheme="minorHAnsi" w:hAnsiTheme="minorHAnsi"/>
          <w:sz w:val="20"/>
          <w:szCs w:val="20"/>
        </w:rPr>
        <w:t xml:space="preserve">Zmluve o </w:t>
      </w:r>
      <w:r w:rsidRPr="00C275A5">
        <w:rPr>
          <w:rFonts w:asciiTheme="minorHAnsi" w:hAnsiTheme="minorHAnsi"/>
          <w:sz w:val="20"/>
          <w:szCs w:val="20"/>
        </w:rPr>
        <w:t>NFP.</w:t>
      </w:r>
    </w:p>
    <w:p w14:paraId="2074DB44" w14:textId="3B718987" w:rsidR="00C275A5" w:rsidRPr="00C275A5" w:rsidRDefault="00C275A5" w:rsidP="00C275A5">
      <w:pPr>
        <w:jc w:val="both"/>
        <w:rPr>
          <w:rFonts w:asciiTheme="minorHAnsi" w:hAnsiTheme="minorHAnsi"/>
          <w:sz w:val="20"/>
          <w:szCs w:val="20"/>
        </w:rPr>
      </w:pPr>
      <w:r w:rsidRPr="00C275A5">
        <w:rPr>
          <w:rFonts w:asciiTheme="minorHAnsi" w:hAnsiTheme="minorHAnsi"/>
          <w:sz w:val="20"/>
          <w:szCs w:val="20"/>
        </w:rPr>
        <w:lastRenderedPageBreak/>
        <w:t xml:space="preserve">Metodika vykazovania sledovaných údajov projektu je bližšie definovaná v </w:t>
      </w:r>
      <w:r w:rsidR="00293B4E">
        <w:rPr>
          <w:rFonts w:asciiTheme="minorHAnsi" w:hAnsiTheme="minorHAnsi"/>
          <w:sz w:val="20"/>
          <w:szCs w:val="20"/>
        </w:rPr>
        <w:t>P</w:t>
      </w:r>
      <w:r w:rsidRPr="00C275A5">
        <w:rPr>
          <w:rFonts w:asciiTheme="minorHAnsi" w:hAnsiTheme="minorHAnsi"/>
          <w:sz w:val="20"/>
          <w:szCs w:val="20"/>
        </w:rPr>
        <w:t>ríručke pre prijímateľa</w:t>
      </w:r>
      <w:r w:rsidR="000E2616">
        <w:rPr>
          <w:rFonts w:asciiTheme="minorHAnsi" w:hAnsiTheme="minorHAnsi"/>
          <w:sz w:val="20"/>
          <w:szCs w:val="20"/>
        </w:rPr>
        <w:t xml:space="preserve"> (</w:t>
      </w:r>
      <w:r w:rsidR="000E2616" w:rsidRPr="000E2616">
        <w:rPr>
          <w:rFonts w:asciiTheme="minorHAnsi" w:hAnsiTheme="minorHAnsi"/>
          <w:sz w:val="20"/>
          <w:szCs w:val="20"/>
        </w:rPr>
        <w:t>http://www.minv.sk/?metodicke-dokumenty</w:t>
      </w:r>
      <w:r w:rsidR="000E2616">
        <w:rPr>
          <w:rFonts w:asciiTheme="minorHAnsi" w:hAnsiTheme="minorHAnsi"/>
          <w:sz w:val="20"/>
          <w:szCs w:val="20"/>
        </w:rPr>
        <w:t>)</w:t>
      </w:r>
      <w:r w:rsidRPr="00C275A5">
        <w:rPr>
          <w:rFonts w:asciiTheme="minorHAnsi" w:hAnsiTheme="minorHAnsi"/>
          <w:sz w:val="20"/>
          <w:szCs w:val="20"/>
        </w:rPr>
        <w:t>.</w:t>
      </w:r>
      <w:r w:rsidR="00293B4E">
        <w:rPr>
          <w:rFonts w:asciiTheme="minorHAnsi" w:hAnsiTheme="minorHAnsi"/>
          <w:sz w:val="20"/>
          <w:szCs w:val="20"/>
        </w:rPr>
        <w:t xml:space="preserve"> </w:t>
      </w:r>
      <w:r w:rsidRPr="00C275A5">
        <w:rPr>
          <w:rFonts w:asciiTheme="minorHAnsi" w:hAnsiTheme="minorHAnsi"/>
          <w:sz w:val="20"/>
          <w:szCs w:val="20"/>
        </w:rPr>
        <w:t xml:space="preserve"> </w:t>
      </w:r>
    </w:p>
    <w:p w14:paraId="52FDEC28" w14:textId="77777777" w:rsidR="007746E7" w:rsidRDefault="007746E7" w:rsidP="00A94857">
      <w:pPr>
        <w:tabs>
          <w:tab w:val="center" w:pos="4536"/>
          <w:tab w:val="center" w:pos="7002"/>
          <w:tab w:val="right" w:pos="9072"/>
          <w:tab w:val="left" w:pos="11395"/>
        </w:tabs>
        <w:spacing w:before="120" w:after="120"/>
        <w:jc w:val="center"/>
        <w:rPr>
          <w:rFonts w:asciiTheme="minorHAnsi" w:hAnsiTheme="minorHAnsi"/>
          <w:b/>
          <w:sz w:val="20"/>
          <w:szCs w:val="20"/>
        </w:rPr>
      </w:pPr>
    </w:p>
    <w:p w14:paraId="7259AAB2" w14:textId="77777777" w:rsidR="007746E7" w:rsidRDefault="007746E7" w:rsidP="00A94857">
      <w:pPr>
        <w:tabs>
          <w:tab w:val="center" w:pos="4536"/>
          <w:tab w:val="center" w:pos="7002"/>
          <w:tab w:val="right" w:pos="9072"/>
          <w:tab w:val="left" w:pos="11395"/>
        </w:tabs>
        <w:spacing w:before="120" w:after="120"/>
        <w:jc w:val="center"/>
        <w:rPr>
          <w:rFonts w:asciiTheme="minorHAnsi" w:hAnsiTheme="minorHAnsi"/>
          <w:b/>
          <w:sz w:val="20"/>
          <w:szCs w:val="20"/>
        </w:rPr>
      </w:pPr>
    </w:p>
    <w:p w14:paraId="5383F57F" w14:textId="21AEA271" w:rsidR="00B33A21" w:rsidRPr="00B33A21" w:rsidRDefault="00B33A21" w:rsidP="00A94857">
      <w:pPr>
        <w:tabs>
          <w:tab w:val="center" w:pos="4536"/>
          <w:tab w:val="center" w:pos="7002"/>
          <w:tab w:val="right" w:pos="9072"/>
          <w:tab w:val="left" w:pos="11395"/>
        </w:tabs>
        <w:spacing w:before="120" w:after="120"/>
        <w:jc w:val="center"/>
        <w:rPr>
          <w:rFonts w:asciiTheme="minorHAnsi" w:hAnsiTheme="minorHAnsi"/>
          <w:b/>
          <w:sz w:val="20"/>
          <w:szCs w:val="20"/>
        </w:rPr>
      </w:pPr>
      <w:r w:rsidRPr="00B33A21">
        <w:rPr>
          <w:rFonts w:asciiTheme="minorHAnsi" w:hAnsiTheme="minorHAnsi"/>
          <w:b/>
          <w:sz w:val="20"/>
          <w:szCs w:val="20"/>
        </w:rPr>
        <w:t>Vykazovanie sledovaných údajov projektu v rámci monitorovania projektu</w:t>
      </w:r>
      <w:r w:rsidRPr="00B33A21">
        <w:rPr>
          <w:rStyle w:val="Odkaznavysvetlivku"/>
          <w:rFonts w:asciiTheme="minorHAnsi" w:hAnsiTheme="minorHAnsi"/>
          <w:b/>
          <w:sz w:val="20"/>
          <w:szCs w:val="20"/>
        </w:rPr>
        <w:endnoteReference w:id="2"/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502"/>
        <w:gridCol w:w="8943"/>
        <w:gridCol w:w="1549"/>
      </w:tblGrid>
      <w:tr w:rsidR="00B33A21" w:rsidRPr="00B33A21" w14:paraId="6573257C" w14:textId="77777777" w:rsidTr="007C4EBA">
        <w:tc>
          <w:tcPr>
            <w:tcW w:w="3502" w:type="dxa"/>
            <w:shd w:val="clear" w:color="auto" w:fill="FECB90"/>
          </w:tcPr>
          <w:p w14:paraId="086DF8C9" w14:textId="77777777" w:rsidR="00B33A21" w:rsidRPr="00B33A21" w:rsidRDefault="00B33A21" w:rsidP="00F33F7A">
            <w:pPr>
              <w:spacing w:before="120" w:after="12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B33A21">
              <w:rPr>
                <w:rFonts w:asciiTheme="minorHAnsi" w:hAnsiTheme="minorHAnsi"/>
                <w:b/>
                <w:sz w:val="20"/>
                <w:szCs w:val="20"/>
              </w:rPr>
              <w:t>Hlavná aktivita</w:t>
            </w:r>
            <w:r w:rsidRPr="00B33A21">
              <w:rPr>
                <w:rStyle w:val="Odkaznavysvetlivku"/>
                <w:rFonts w:asciiTheme="minorHAnsi" w:hAnsiTheme="minorHAnsi"/>
                <w:b/>
                <w:sz w:val="20"/>
                <w:szCs w:val="20"/>
              </w:rPr>
              <w:endnoteReference w:id="3"/>
            </w:r>
          </w:p>
        </w:tc>
        <w:tc>
          <w:tcPr>
            <w:tcW w:w="8943" w:type="dxa"/>
            <w:shd w:val="clear" w:color="auto" w:fill="FECB90"/>
          </w:tcPr>
          <w:p w14:paraId="7DEDDCDB" w14:textId="77777777" w:rsidR="00B33A21" w:rsidRPr="00B33A21" w:rsidRDefault="00B33A21" w:rsidP="00F33F7A">
            <w:pPr>
              <w:spacing w:before="120" w:after="12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B33A21">
              <w:rPr>
                <w:rFonts w:asciiTheme="minorHAnsi" w:hAnsiTheme="minorHAnsi"/>
                <w:b/>
                <w:sz w:val="20"/>
                <w:szCs w:val="20"/>
              </w:rPr>
              <w:t>Sledovaný údaj projektu</w:t>
            </w:r>
            <w:r w:rsidRPr="00B33A21">
              <w:rPr>
                <w:rStyle w:val="Odkaznavysvetlivku"/>
                <w:rFonts w:asciiTheme="minorHAnsi" w:hAnsiTheme="minorHAnsi"/>
                <w:b/>
                <w:sz w:val="20"/>
                <w:szCs w:val="20"/>
              </w:rPr>
              <w:endnoteReference w:id="4"/>
            </w:r>
          </w:p>
        </w:tc>
        <w:tc>
          <w:tcPr>
            <w:tcW w:w="1549" w:type="dxa"/>
            <w:shd w:val="clear" w:color="auto" w:fill="FECB90"/>
          </w:tcPr>
          <w:p w14:paraId="293EB359" w14:textId="77777777" w:rsidR="00B33A21" w:rsidRPr="00B33A21" w:rsidRDefault="00B33A21" w:rsidP="00F33F7A">
            <w:pPr>
              <w:spacing w:before="120" w:after="12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B33A21">
              <w:rPr>
                <w:rFonts w:asciiTheme="minorHAnsi" w:hAnsiTheme="minorHAnsi"/>
                <w:b/>
                <w:sz w:val="20"/>
                <w:szCs w:val="20"/>
              </w:rPr>
              <w:t>Počet</w:t>
            </w:r>
          </w:p>
        </w:tc>
      </w:tr>
      <w:tr w:rsidR="00B33A21" w:rsidRPr="00B33A21" w14:paraId="4DD08289" w14:textId="77777777" w:rsidTr="00B33A21">
        <w:tc>
          <w:tcPr>
            <w:tcW w:w="3502" w:type="dxa"/>
            <w:vMerge w:val="restart"/>
            <w:vAlign w:val="center"/>
          </w:tcPr>
          <w:p w14:paraId="0D72032E" w14:textId="77777777" w:rsidR="00B33A21" w:rsidRPr="00B33A21" w:rsidRDefault="00B33A21" w:rsidP="00F33F7A">
            <w:pPr>
              <w:spacing w:before="120" w:after="12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943" w:type="dxa"/>
          </w:tcPr>
          <w:p w14:paraId="69F0BC39" w14:textId="77777777" w:rsidR="00B33A21" w:rsidRPr="00B33A21" w:rsidRDefault="00B33A21" w:rsidP="00F33F7A">
            <w:pPr>
              <w:spacing w:before="120" w:after="12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49" w:type="dxa"/>
          </w:tcPr>
          <w:p w14:paraId="5371BF9B" w14:textId="77777777" w:rsidR="00B33A21" w:rsidRPr="00B33A21" w:rsidRDefault="00B33A21" w:rsidP="00F33F7A">
            <w:pPr>
              <w:spacing w:before="120" w:after="12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B33A21" w:rsidRPr="00B33A21" w14:paraId="7EB5BECE" w14:textId="77777777" w:rsidTr="00B33A21">
        <w:tc>
          <w:tcPr>
            <w:tcW w:w="3502" w:type="dxa"/>
            <w:vMerge/>
          </w:tcPr>
          <w:p w14:paraId="532CAAD1" w14:textId="77777777" w:rsidR="00B33A21" w:rsidRPr="00B33A21" w:rsidRDefault="00B33A21" w:rsidP="00F33F7A">
            <w:pPr>
              <w:spacing w:before="120" w:after="120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8943" w:type="dxa"/>
          </w:tcPr>
          <w:p w14:paraId="73A20716" w14:textId="77777777" w:rsidR="00B33A21" w:rsidRPr="00B33A21" w:rsidRDefault="00B33A21" w:rsidP="00F33F7A">
            <w:pPr>
              <w:spacing w:before="120" w:after="12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549" w:type="dxa"/>
          </w:tcPr>
          <w:p w14:paraId="29F6DE2A" w14:textId="77777777" w:rsidR="00B33A21" w:rsidRPr="00B33A21" w:rsidRDefault="00B33A21" w:rsidP="00F33F7A">
            <w:pPr>
              <w:spacing w:before="120" w:after="12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1A1280F" w14:textId="77777777" w:rsidR="007746E7" w:rsidRPr="00B33A21" w:rsidRDefault="007746E7" w:rsidP="00464593">
      <w:pPr>
        <w:spacing w:after="160" w:line="259" w:lineRule="auto"/>
        <w:rPr>
          <w:rFonts w:asciiTheme="minorHAnsi" w:hAnsiTheme="minorHAnsi" w:cs="Arial"/>
          <w:sz w:val="20"/>
          <w:szCs w:val="20"/>
        </w:rPr>
      </w:pPr>
    </w:p>
    <w:sectPr w:rsidR="007746E7" w:rsidRPr="00B33A21" w:rsidSect="00980C1D">
      <w:headerReference w:type="default" r:id="rId11"/>
      <w:footerReference w:type="default" r:id="rId12"/>
      <w:endnotePr>
        <w:numFmt w:val="decimal"/>
      </w:endnotePr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77B782" w14:textId="77777777" w:rsidR="000E668E" w:rsidRDefault="000E668E" w:rsidP="00C15A7A">
      <w:r>
        <w:separator/>
      </w:r>
    </w:p>
  </w:endnote>
  <w:endnote w:type="continuationSeparator" w:id="0">
    <w:p w14:paraId="125AFB4D" w14:textId="77777777" w:rsidR="000E668E" w:rsidRDefault="000E668E" w:rsidP="00C15A7A">
      <w:r>
        <w:continuationSeparator/>
      </w:r>
    </w:p>
  </w:endnote>
  <w:endnote w:type="continuationNotice" w:id="1">
    <w:p w14:paraId="66A3FED8" w14:textId="77777777" w:rsidR="000E668E" w:rsidRDefault="000E668E"/>
  </w:endnote>
  <w:endnote w:id="2">
    <w:p w14:paraId="55AC3FB9" w14:textId="0DB5C74E" w:rsidR="00F33F7A" w:rsidRPr="00B33A21" w:rsidRDefault="00F33F7A" w:rsidP="00B33A21">
      <w:pPr>
        <w:pStyle w:val="Textvysvetlivky"/>
        <w:jc w:val="both"/>
        <w:rPr>
          <w:rFonts w:asciiTheme="minorHAnsi" w:hAnsiTheme="minorHAnsi"/>
          <w:sz w:val="18"/>
          <w:szCs w:val="18"/>
        </w:rPr>
      </w:pPr>
      <w:r w:rsidRPr="00B33A21">
        <w:rPr>
          <w:rStyle w:val="Odkaznavysvetlivku"/>
          <w:rFonts w:asciiTheme="minorHAnsi" w:hAnsiTheme="minorHAnsi"/>
          <w:sz w:val="18"/>
          <w:szCs w:val="18"/>
        </w:rPr>
        <w:endnoteRef/>
      </w:r>
      <w:r w:rsidRPr="00B33A21">
        <w:rPr>
          <w:rFonts w:asciiTheme="minorHAnsi" w:hAnsiTheme="minorHAnsi"/>
          <w:sz w:val="18"/>
          <w:szCs w:val="18"/>
        </w:rPr>
        <w:t xml:space="preserve"> Prijímateľ vykazuje Sledované údaje v rámci monitorovacích správ definovaných vo v</w:t>
      </w:r>
      <w:r w:rsidR="000E2616">
        <w:rPr>
          <w:rFonts w:asciiTheme="minorHAnsi" w:hAnsiTheme="minorHAnsi"/>
          <w:sz w:val="18"/>
          <w:szCs w:val="18"/>
        </w:rPr>
        <w:t>ýzve</w:t>
      </w:r>
    </w:p>
  </w:endnote>
  <w:endnote w:id="3">
    <w:p w14:paraId="4C157599" w14:textId="11ABA4D9" w:rsidR="00F33F7A" w:rsidRPr="00B33A21" w:rsidRDefault="00F33F7A" w:rsidP="00B33A21">
      <w:pPr>
        <w:pStyle w:val="Textvysvetlivky"/>
        <w:rPr>
          <w:rFonts w:asciiTheme="minorHAnsi" w:hAnsiTheme="minorHAnsi"/>
          <w:sz w:val="18"/>
          <w:szCs w:val="18"/>
        </w:rPr>
      </w:pPr>
      <w:r w:rsidRPr="00B33A21">
        <w:rPr>
          <w:rStyle w:val="Odkaznavysvetlivku"/>
          <w:rFonts w:asciiTheme="minorHAnsi" w:hAnsiTheme="minorHAnsi"/>
          <w:sz w:val="18"/>
          <w:szCs w:val="18"/>
        </w:rPr>
        <w:endnoteRef/>
      </w:r>
      <w:r w:rsidRPr="00B33A21">
        <w:rPr>
          <w:rFonts w:asciiTheme="minorHAnsi" w:hAnsiTheme="minorHAnsi"/>
          <w:sz w:val="18"/>
          <w:szCs w:val="18"/>
        </w:rPr>
        <w:t xml:space="preserve"> Prijímateľ vykazuje sledované údaje za hlavnú aktivitu realizovanú v rámci projektu</w:t>
      </w:r>
    </w:p>
  </w:endnote>
  <w:endnote w:id="4">
    <w:p w14:paraId="6E4D3CCE" w14:textId="4D8542D6" w:rsidR="00F33F7A" w:rsidRDefault="00F33F7A" w:rsidP="00B33A21">
      <w:pPr>
        <w:pStyle w:val="Textvysvetlivky"/>
        <w:rPr>
          <w:rFonts w:asciiTheme="minorHAnsi" w:hAnsiTheme="minorHAnsi"/>
          <w:sz w:val="18"/>
          <w:szCs w:val="18"/>
        </w:rPr>
      </w:pPr>
      <w:r w:rsidRPr="00B33A21">
        <w:rPr>
          <w:rStyle w:val="Odkaznavysvetlivku"/>
          <w:rFonts w:asciiTheme="minorHAnsi" w:hAnsiTheme="minorHAnsi"/>
          <w:sz w:val="18"/>
          <w:szCs w:val="18"/>
        </w:rPr>
        <w:endnoteRef/>
      </w:r>
      <w:r w:rsidRPr="00B33A21">
        <w:rPr>
          <w:rFonts w:asciiTheme="minorHAnsi" w:hAnsiTheme="minorHAnsi"/>
          <w:sz w:val="18"/>
          <w:szCs w:val="18"/>
        </w:rPr>
        <w:t xml:space="preserve"> Prijímateľ uvedie sledovaný údaj definovaný pre danú hlavnú aktivitu v zmysle zoznamu sledovaných údajov</w:t>
      </w:r>
    </w:p>
    <w:p w14:paraId="6A658075" w14:textId="77777777" w:rsidR="007746E7" w:rsidRDefault="007746E7" w:rsidP="00B33A21">
      <w:pPr>
        <w:pStyle w:val="Textvysvetlivky"/>
        <w:rPr>
          <w:rFonts w:asciiTheme="minorHAnsi" w:hAnsiTheme="minorHAnsi"/>
          <w:sz w:val="18"/>
          <w:szCs w:val="18"/>
        </w:rPr>
      </w:pPr>
    </w:p>
    <w:p w14:paraId="3C6AA0F8" w14:textId="58F1E9B1" w:rsidR="001D0BAA" w:rsidRDefault="001D0BAA" w:rsidP="001D0BAA">
      <w:pPr>
        <w:shd w:val="clear" w:color="auto" w:fill="1F4E79" w:themeFill="accent1" w:themeFillShade="80"/>
        <w:ind w:left="-567" w:right="-597"/>
        <w:rPr>
          <w:rFonts w:asciiTheme="minorHAnsi" w:hAnsiTheme="minorHAnsi" w:cstheme="minorHAnsi"/>
          <w:b/>
          <w:color w:val="FFFFFF" w:themeColor="background1"/>
          <w:sz w:val="20"/>
          <w:szCs w:val="20"/>
        </w:rPr>
      </w:pPr>
      <w:r>
        <w:rPr>
          <w:rFonts w:asciiTheme="minorHAnsi" w:hAnsiTheme="minorHAnsi" w:cstheme="minorHAnsi"/>
          <w:b/>
          <w:color w:val="FFFFFF" w:themeColor="background1"/>
          <w:sz w:val="20"/>
          <w:szCs w:val="20"/>
        </w:rPr>
        <w:t xml:space="preserve">2. </w:t>
      </w:r>
      <w:r w:rsidR="00EF4E6C">
        <w:rPr>
          <w:rFonts w:asciiTheme="minorHAnsi" w:hAnsiTheme="minorHAnsi" w:cstheme="minorHAnsi"/>
          <w:b/>
          <w:color w:val="FFFFFF" w:themeColor="background1"/>
          <w:sz w:val="20"/>
          <w:szCs w:val="20"/>
        </w:rPr>
        <w:t>Iné</w:t>
      </w:r>
      <w:r>
        <w:rPr>
          <w:rFonts w:asciiTheme="minorHAnsi" w:hAnsiTheme="minorHAnsi" w:cstheme="minorHAnsi"/>
          <w:b/>
          <w:color w:val="FFFFFF" w:themeColor="background1"/>
          <w:sz w:val="20"/>
          <w:szCs w:val="20"/>
        </w:rPr>
        <w:t xml:space="preserve"> údaje na monitorovanie uplatňovania HP RMŽ a ND</w:t>
      </w:r>
    </w:p>
    <w:p w14:paraId="61AE122C" w14:textId="77777777" w:rsidR="001D0BAA" w:rsidRDefault="001D0BAA" w:rsidP="001D0BAA">
      <w:pPr>
        <w:pStyle w:val="Textvysvetlivky"/>
        <w:rPr>
          <w:rFonts w:asciiTheme="minorHAnsi" w:hAnsiTheme="minorHAnsi" w:cstheme="minorHAnsi"/>
        </w:rPr>
      </w:pPr>
    </w:p>
    <w:p w14:paraId="6DFC1825" w14:textId="77777777" w:rsidR="001D0BAA" w:rsidRDefault="001D0BAA" w:rsidP="001D0BAA">
      <w:pPr>
        <w:pStyle w:val="Normlnywebov"/>
        <w:shd w:val="clear" w:color="auto" w:fill="8EAADB" w:themeFill="accent5" w:themeFillTint="99"/>
        <w:spacing w:before="0" w:beforeAutospacing="0" w:after="0" w:afterAutospacing="0"/>
        <w:ind w:left="-567" w:right="-597"/>
        <w:jc w:val="both"/>
        <w:rPr>
          <w:rFonts w:asciiTheme="minorHAnsi" w:hAnsiTheme="minorHAnsi" w:cstheme="minorHAnsi"/>
          <w:b/>
          <w:color w:val="FFFFFF" w:themeColor="background1"/>
          <w:sz w:val="20"/>
          <w:szCs w:val="22"/>
        </w:rPr>
      </w:pPr>
      <w:r>
        <w:rPr>
          <w:rFonts w:asciiTheme="minorHAnsi" w:hAnsiTheme="minorHAnsi" w:cstheme="minorHAnsi"/>
          <w:b/>
          <w:color w:val="FFFFFF" w:themeColor="background1"/>
          <w:sz w:val="20"/>
          <w:szCs w:val="22"/>
        </w:rPr>
        <w:t>2.1 Údaje na monitorovanie uplatňovania HP RMŽ a ND počas realizácie projektu</w:t>
      </w:r>
    </w:p>
    <w:p w14:paraId="7B372E70" w14:textId="77777777" w:rsidR="001D0BAA" w:rsidRDefault="001D0BAA" w:rsidP="001D0BAA">
      <w:pPr>
        <w:pStyle w:val="Textvysvetlivky"/>
        <w:rPr>
          <w:rFonts w:asciiTheme="minorHAnsi" w:hAnsiTheme="minorHAnsi" w:cstheme="minorHAnsi"/>
        </w:rPr>
      </w:pPr>
    </w:p>
    <w:p w14:paraId="0EFD6737" w14:textId="406B9183" w:rsidR="001D0BAA" w:rsidRDefault="001D0BAA" w:rsidP="00640BF9">
      <w:pPr>
        <w:tabs>
          <w:tab w:val="center" w:pos="4536"/>
          <w:tab w:val="center" w:pos="7002"/>
          <w:tab w:val="right" w:pos="9072"/>
          <w:tab w:val="left" w:pos="11395"/>
        </w:tabs>
        <w:ind w:left="-567"/>
        <w:jc w:val="both"/>
        <w:rPr>
          <w:rFonts w:asciiTheme="minorHAnsi" w:hAnsiTheme="minorHAnsi" w:cstheme="minorHAnsi"/>
          <w:b/>
          <w:sz w:val="20"/>
          <w:szCs w:val="22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Typ aktivity </w:t>
      </w:r>
      <w:r w:rsidR="00B16A31">
        <w:rPr>
          <w:rFonts w:asciiTheme="minorHAnsi" w:hAnsiTheme="minorHAnsi" w:cstheme="minorHAnsi"/>
          <w:b/>
          <w:sz w:val="20"/>
          <w:szCs w:val="20"/>
        </w:rPr>
        <w:t>–</w:t>
      </w: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B16A31">
        <w:rPr>
          <w:rFonts w:asciiTheme="minorHAnsi" w:hAnsiTheme="minorHAnsi" w:cstheme="minorHAnsi"/>
          <w:b/>
          <w:sz w:val="20"/>
          <w:szCs w:val="20"/>
        </w:rPr>
        <w:t xml:space="preserve">A: </w:t>
      </w:r>
      <w:r>
        <w:rPr>
          <w:rFonts w:asciiTheme="minorHAnsi" w:hAnsiTheme="minorHAnsi" w:cstheme="minorHAnsi"/>
          <w:b/>
          <w:sz w:val="20"/>
          <w:szCs w:val="22"/>
        </w:rPr>
        <w:t>Podpora systematického poskytovania sociálnych a asistenčných služieb v obciach s prítomnosťou MRK zameraných na zvýšenie zamestnateľnosti ľudí žijúcich v prostredí MRK (</w:t>
      </w:r>
      <w:r w:rsidR="000B7B37" w:rsidRPr="000B7B37">
        <w:rPr>
          <w:rFonts w:asciiTheme="minorHAnsi" w:hAnsiTheme="minorHAnsi" w:cstheme="minorHAnsi"/>
          <w:b/>
          <w:sz w:val="20"/>
          <w:szCs w:val="22"/>
        </w:rPr>
        <w:t>napr. TSP, komunitní pracovníci/pracovníčky v oblasti sociálnych služieb, miestne občianske hliadky, asistenti/asistentky bývania a iné asistenčné služby</w:t>
      </w:r>
      <w:r>
        <w:rPr>
          <w:rFonts w:asciiTheme="minorHAnsi" w:hAnsiTheme="minorHAnsi" w:cstheme="minorHAnsi"/>
          <w:b/>
          <w:sz w:val="20"/>
          <w:szCs w:val="22"/>
        </w:rPr>
        <w:t>)</w:t>
      </w:r>
      <w:r w:rsidR="00640BF9">
        <w:rPr>
          <w:rFonts w:asciiTheme="minorHAnsi" w:hAnsiTheme="minorHAnsi" w:cstheme="minorHAnsi"/>
          <w:b/>
          <w:sz w:val="20"/>
          <w:szCs w:val="22"/>
        </w:rPr>
        <w:t xml:space="preserve">, </w:t>
      </w:r>
      <w:r w:rsidR="00640BF9" w:rsidRPr="00640BF9">
        <w:rPr>
          <w:rFonts w:asciiTheme="minorHAnsi" w:hAnsiTheme="minorHAnsi" w:cstheme="minorHAnsi"/>
          <w:b/>
          <w:sz w:val="20"/>
          <w:szCs w:val="22"/>
        </w:rPr>
        <w:t xml:space="preserve">vrátane zaobstarania nevyhnutného zdravotníckeho alebo sanitárneho vybavenia súvisiaceho s poskytovaním predmetných služieb v lokalitách postihnutých epidémiami ako napr. Covid </w:t>
      </w:r>
      <w:r w:rsidR="00640BF9">
        <w:rPr>
          <w:rFonts w:asciiTheme="minorHAnsi" w:hAnsiTheme="minorHAnsi" w:cstheme="minorHAnsi"/>
          <w:b/>
          <w:sz w:val="20"/>
          <w:szCs w:val="22"/>
        </w:rPr>
        <w:t>–</w:t>
      </w:r>
      <w:r w:rsidR="00640BF9" w:rsidRPr="00640BF9">
        <w:rPr>
          <w:rFonts w:asciiTheme="minorHAnsi" w:hAnsiTheme="minorHAnsi" w:cstheme="minorHAnsi"/>
          <w:b/>
          <w:sz w:val="20"/>
          <w:szCs w:val="22"/>
        </w:rPr>
        <w:t xml:space="preserve"> 19</w:t>
      </w:r>
      <w:r w:rsidR="00640BF9">
        <w:rPr>
          <w:rFonts w:asciiTheme="minorHAnsi" w:hAnsiTheme="minorHAnsi" w:cstheme="minorHAnsi"/>
          <w:b/>
          <w:sz w:val="20"/>
          <w:szCs w:val="22"/>
        </w:rPr>
        <w:t>.</w:t>
      </w:r>
    </w:p>
    <w:p w14:paraId="35E75F0F" w14:textId="77777777" w:rsidR="00A51D7B" w:rsidRDefault="00A51D7B" w:rsidP="001D0BAA">
      <w:pPr>
        <w:tabs>
          <w:tab w:val="center" w:pos="4536"/>
          <w:tab w:val="center" w:pos="7002"/>
          <w:tab w:val="right" w:pos="9072"/>
          <w:tab w:val="left" w:pos="11395"/>
        </w:tabs>
        <w:ind w:left="-567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Mriekatabuky"/>
        <w:tblW w:w="1516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694"/>
        <w:gridCol w:w="3542"/>
        <w:gridCol w:w="8929"/>
      </w:tblGrid>
      <w:tr w:rsidR="001D0BAA" w14:paraId="5E991A70" w14:textId="77777777" w:rsidTr="001D0BA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hideMark/>
          </w:tcPr>
          <w:p w14:paraId="2A6D6B72" w14:textId="77777777" w:rsidR="001D0BAA" w:rsidRDefault="001D0BAA" w:rsidP="001D0BA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Hlavná aktivita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hideMark/>
          </w:tcPr>
          <w:p w14:paraId="42BFAC50" w14:textId="5FCFCA9F" w:rsidR="001D0BAA" w:rsidRDefault="00EF4E6C" w:rsidP="001D0BAA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Iný</w:t>
            </w:r>
            <w:r w:rsidR="001D0BAA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údaj projektu</w:t>
            </w:r>
          </w:p>
        </w:tc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  <w:hideMark/>
          </w:tcPr>
          <w:p w14:paraId="4E423FDF" w14:textId="40CE2C19" w:rsidR="001D0BAA" w:rsidRDefault="001D0BAA" w:rsidP="00EF4E6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Definícia </w:t>
            </w:r>
            <w:r w:rsidR="00EF4E6C"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iného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 xml:space="preserve"> údaju projektu</w:t>
            </w:r>
          </w:p>
        </w:tc>
      </w:tr>
      <w:tr w:rsidR="00096198" w14:paraId="3B152993" w14:textId="77777777" w:rsidTr="0025685C">
        <w:trPr>
          <w:trHeight w:val="31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10EABE9D" w14:textId="686FE6B5" w:rsidR="00096198" w:rsidRDefault="00096198" w:rsidP="001D0BAA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C16FA0">
              <w:rPr>
                <w:rFonts w:asciiTheme="minorHAnsi" w:hAnsiTheme="minorHAnsi"/>
                <w:b/>
                <w:sz w:val="20"/>
              </w:rPr>
              <w:t>Podpora komplexného poskytovania miestnej občianskej poriadkovej služby v obciach s prítomnosťou MRK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F3E91" w14:textId="259F5072" w:rsidR="00096198" w:rsidRPr="00F84200" w:rsidRDefault="00096198" w:rsidP="001D0BAA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</w:pPr>
            <w:r w:rsidRPr="00F8420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D0251 - Počet pracovníkov, pracovníčok mladších ako 25 rokov veku refundovaných z projektu mimo technickej pomoci OP/OP TP</w:t>
            </w:r>
          </w:p>
        </w:tc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FF6A0" w14:textId="2855F090" w:rsidR="00096198" w:rsidRDefault="00096198" w:rsidP="00A51D7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68E9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Údaj vyjadruje priemerný ročný počet pracovníkov, pracovníčok mladších ako 25 rokov veku, ktorých mzdy sú plne alebo čiastočne refundované v rámci daného projektu a prepočítaný na ekvivalent plného pracovného úväzku (FTE). Údaj zachytáva jednak osoby, ktoré sa podieľajú na riadení a implementácii projektu (napr. projektový manažér, manažérka, účtovník, účtovníčka a pod.) ako aj osoby, ktoré vykonávajú odbornú prácu (</w:t>
            </w:r>
            <w:r w:rsidR="00A51D7B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členovia MOPS</w:t>
            </w:r>
            <w:r w:rsidRPr="008068E9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). </w:t>
            </w:r>
          </w:p>
        </w:tc>
      </w:tr>
      <w:tr w:rsidR="00096198" w14:paraId="5FBE4105" w14:textId="77777777" w:rsidTr="0025685C">
        <w:trPr>
          <w:trHeight w:val="31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5E8B0E3" w14:textId="77777777" w:rsidR="00096198" w:rsidRDefault="00096198" w:rsidP="001D0BAA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6CF0E" w14:textId="2679C0CF" w:rsidR="00096198" w:rsidRPr="00F84200" w:rsidRDefault="00096198" w:rsidP="001D0BAA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</w:pPr>
            <w:r w:rsidRPr="00F8420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D0256 - Počet pracovníkov, pracovníčok starších ako 54 rokov veku refundovaných z projektu mimo technickej pomoci OP/OP TP</w:t>
            </w:r>
          </w:p>
        </w:tc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4546C" w14:textId="77777777" w:rsidR="00A51D7B" w:rsidRDefault="00096198" w:rsidP="008068E9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68E9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Údaj vyjadruje priemerný ročný počet pracovníkov, pracovníčok starších ako 54 rokov veku, ktorých mzdy sú plne alebo čiastočne refundované v rámci daného projektu a prepočítaný na ekvivalent plného pracovného úväzku (FTE). Údaj zachytáva jednak osoby, ktoré sa podieľajú na riadení a implementácii projektu (napr. projektový manažér, manažérka, účtovníčka, účtovník a pod.) ako aj osoby, ktoré vykonávajú odbornú prácu (</w:t>
            </w:r>
            <w:r w:rsidR="00A51D7B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členovia MOPS</w:t>
            </w:r>
            <w:r w:rsidRPr="008068E9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). </w:t>
            </w:r>
          </w:p>
          <w:p w14:paraId="5DD216B7" w14:textId="081780DD" w:rsidR="00096198" w:rsidRDefault="00096198" w:rsidP="008068E9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68E9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Osoba staršia ako 54 rokov veku je osoba, ktorá najneskôr v deň vstupu do aktivity dosiahla vek 54 rokov alebo vyšší (platí pre ESF/IZM); osoba, ktorá najneskôr v čase začiatku realizácie aktivít projektu dosiahla vek 54 rokov alebo vyšší (platí pre EFRR/KF).</w:t>
            </w:r>
          </w:p>
        </w:tc>
      </w:tr>
      <w:tr w:rsidR="00096198" w14:paraId="17C20F69" w14:textId="77777777" w:rsidTr="0025685C">
        <w:trPr>
          <w:trHeight w:val="31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D15527" w14:textId="77777777" w:rsidR="00096198" w:rsidRDefault="00096198" w:rsidP="001D0BAA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C8812" w14:textId="109FA173" w:rsidR="00096198" w:rsidRPr="00F84200" w:rsidRDefault="00096198" w:rsidP="001D0BAA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</w:pPr>
            <w:r w:rsidRPr="00F8420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D0258</w:t>
            </w:r>
            <w:r w:rsidRPr="00F84200"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en-US"/>
              </w:rPr>
              <w:t xml:space="preserve"> - </w:t>
            </w:r>
            <w:r w:rsidRPr="00F8420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Počet pracovníkov, pracovníčok, ktorí boli pred zapojením osobami dlhodobo nezamestnanými, refundovaných z projektu mimo technickej pomoci OP/OP TP</w:t>
            </w:r>
          </w:p>
        </w:tc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B297" w14:textId="33D2B7F1" w:rsidR="00096198" w:rsidRPr="008068E9" w:rsidRDefault="00096198" w:rsidP="008068E9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68E9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Údaj vyjadruje priemerný ročný počet pracovníkov, pracovníčok, ktorí boli pred zapojením osobami dlhodobo nezamestnanými, ktorých mzdy sú plne alebo čiastočne refundované v rámci daného projektu a prepočítaný na ekvivalent plného pracovného úväzku (FTE). Údaj zachytáva jednak osoby, ktoré sa podieľajú na riadení a implementácii projektu (napr. projektový manažér, manažérka, účtovníčka, účtovník a pod.), ako aj osoby, ktoré vykonávajú odbornú prácu (</w:t>
            </w:r>
            <w:r w:rsidR="00A51D7B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členovia MOPS</w:t>
            </w:r>
            <w:r w:rsidRPr="008068E9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).  </w:t>
            </w:r>
          </w:p>
          <w:p w14:paraId="70BCD847" w14:textId="362C327B" w:rsidR="00096198" w:rsidRDefault="00096198" w:rsidP="008068E9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068E9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Dlhodobo nezamestnaná osoba je osoba vedená v evidencii uchádzačov o zamestnanie najmenej 12 po sebe nasledujúcich mesiacov; v prípade osoby mladšej ako 25 rokov najmenej 6 po sebe nasledujúcich mesiacov (platí pre ESF/IZM); osoba vedená v evidencii uchádzačov o zamestnanie najmenej 12 po sebe nasledujúcich mesiacov (platí pre EFRR/KF). Dlhodobá nezamestnanosť sa preukazuje dokladom z úradu práce, sociálnych vecí a rodiny.</w:t>
            </w:r>
          </w:p>
        </w:tc>
      </w:tr>
      <w:tr w:rsidR="00621387" w14:paraId="02B1EFD1" w14:textId="77777777" w:rsidTr="00B232E7">
        <w:trPr>
          <w:trHeight w:val="31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16EB81" w14:textId="77777777" w:rsidR="00621387" w:rsidRDefault="00621387" w:rsidP="006213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56F22" w14:textId="60C7E092" w:rsidR="00621387" w:rsidRPr="00F84200" w:rsidRDefault="00621387" w:rsidP="00621387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eastAsiaTheme="minorHAnsi" w:hAnsiTheme="minorHAnsi" w:cs="Calibri"/>
                <w:color w:val="000000"/>
                <w:sz w:val="20"/>
                <w:szCs w:val="20"/>
                <w:lang w:eastAsia="en-US"/>
              </w:rPr>
              <w:t>D0261</w:t>
            </w:r>
            <w:r w:rsidRPr="008E7E28">
              <w:rPr>
                <w:rFonts w:asciiTheme="minorHAnsi" w:eastAsiaTheme="minorHAnsi" w:hAnsiTheme="minorHAnsi" w:cs="Calibri"/>
                <w:color w:val="000000"/>
                <w:sz w:val="20"/>
                <w:szCs w:val="20"/>
                <w:lang w:eastAsia="en-US"/>
              </w:rPr>
              <w:t xml:space="preserve"> - </w:t>
            </w:r>
            <w:r w:rsidRPr="00621387">
              <w:rPr>
                <w:rFonts w:asciiTheme="minorHAnsi" w:eastAsiaTheme="minorHAnsi" w:hAnsiTheme="minorHAnsi" w:cs="Calibri"/>
                <w:color w:val="000000"/>
                <w:sz w:val="20"/>
                <w:szCs w:val="20"/>
                <w:lang w:eastAsia="en-US"/>
              </w:rPr>
              <w:t>Mzda mužov refundovaná z projektu (priemer)</w:t>
            </w:r>
            <w:r w:rsidRPr="008E7E28">
              <w:rPr>
                <w:rFonts w:asciiTheme="minorHAnsi" w:eastAsiaTheme="minorHAnsi" w:hAnsiTheme="minorHAnsi" w:cs="Calibri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D793" w14:textId="77777777" w:rsidR="00996851" w:rsidRDefault="00AE6424" w:rsidP="00621387">
            <w:pPr>
              <w:jc w:val="both"/>
              <w:rPr>
                <w:rFonts w:asciiTheme="minorHAnsi" w:hAnsiTheme="minorHAnsi" w:cs="Helvetica"/>
                <w:color w:val="000000"/>
                <w:sz w:val="20"/>
                <w:szCs w:val="20"/>
              </w:rPr>
            </w:pPr>
            <w:r w:rsidRPr="00B16A31">
              <w:rPr>
                <w:rFonts w:asciiTheme="minorHAnsi" w:hAnsiTheme="minorHAnsi" w:cs="Helvetica"/>
                <w:color w:val="000000"/>
                <w:sz w:val="20"/>
                <w:szCs w:val="20"/>
              </w:rPr>
              <w:t>Údaj vyjadruje priemernú hrubú mesačnú mzdu mužov refundovanú z projektu. Do údaju sa nezahŕňa mzda osôb, s ktorými bola uzavretá niektorá z dohôd o prácach vykonávanej mimo pracovného pomer, mzda učňov a študentov na prevádzkovej praxi, príjem súkromných podnikateľov (resp. ich spoločníkov), ktorí nemajú uzavretú pracovnú zmluvu v danej organizácii.</w:t>
            </w:r>
            <w:r w:rsidR="00996851">
              <w:rPr>
                <w:rFonts w:asciiTheme="minorHAnsi" w:hAnsiTheme="minorHAnsi" w:cs="Helvetica"/>
                <w:color w:val="000000"/>
                <w:sz w:val="20"/>
                <w:szCs w:val="20"/>
              </w:rPr>
              <w:t xml:space="preserve"> </w:t>
            </w:r>
          </w:p>
          <w:p w14:paraId="079538D5" w14:textId="70438B39" w:rsidR="00621387" w:rsidRPr="00B16A31" w:rsidRDefault="00AE6424" w:rsidP="00621387">
            <w:pPr>
              <w:jc w:val="both"/>
              <w:rPr>
                <w:rFonts w:asciiTheme="minorHAnsi" w:hAnsiTheme="minorHAnsi" w:cs="Helvetica"/>
                <w:color w:val="000000"/>
                <w:sz w:val="20"/>
                <w:szCs w:val="20"/>
              </w:rPr>
            </w:pPr>
            <w:r w:rsidRPr="00B16A31">
              <w:rPr>
                <w:rFonts w:asciiTheme="minorHAnsi" w:hAnsiTheme="minorHAnsi" w:cs="Helvetica"/>
                <w:color w:val="000000"/>
                <w:sz w:val="20"/>
                <w:szCs w:val="20"/>
              </w:rPr>
              <w:t>Metóda výpočtu na úrovni projektu: Podiel súčtu priemerných mesačných hrubých miezd za všetkých pracovníkov (priemerná mesačná hrubá mzda pracovníka sa vypočíta ako aritmetický priemer mesačných hrubých miezd za odpracované/refundované obdobie), ktorým mzda bola refundovaná počas projektu (čitateľ) a súčtu daných pracovníkov, prepočítaných na FTE (menovateľ).</w:t>
            </w:r>
          </w:p>
        </w:tc>
      </w:tr>
      <w:tr w:rsidR="00621387" w14:paraId="7DBBD4EB" w14:textId="77777777" w:rsidTr="0025685C">
        <w:trPr>
          <w:trHeight w:val="31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1F801E" w14:textId="77777777" w:rsidR="00621387" w:rsidRDefault="00621387" w:rsidP="006213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2CEB3" w14:textId="33081AF3" w:rsidR="00621387" w:rsidRPr="00F84200" w:rsidRDefault="00621387" w:rsidP="00621387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8E7E28">
              <w:rPr>
                <w:rFonts w:asciiTheme="minorHAnsi" w:eastAsiaTheme="minorHAnsi" w:hAnsiTheme="minorHAnsi" w:cs="Calibri"/>
                <w:color w:val="000000"/>
                <w:sz w:val="20"/>
                <w:szCs w:val="20"/>
                <w:lang w:eastAsia="en-US"/>
              </w:rPr>
              <w:t xml:space="preserve">D0262 - Mzda mužov refundovaná z projektu (medián) </w:t>
            </w:r>
          </w:p>
        </w:tc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EA0E9" w14:textId="77777777" w:rsidR="00621387" w:rsidRPr="008E7E28" w:rsidRDefault="00621387" w:rsidP="0062138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color w:val="000000"/>
                <w:sz w:val="20"/>
                <w:szCs w:val="20"/>
                <w:lang w:eastAsia="en-US"/>
              </w:rPr>
            </w:pPr>
            <w:r w:rsidRPr="008E7E28">
              <w:rPr>
                <w:rFonts w:asciiTheme="minorHAnsi" w:eastAsiaTheme="minorHAnsi" w:hAnsiTheme="minorHAnsi" w:cs="Calibri"/>
                <w:color w:val="000000"/>
                <w:sz w:val="20"/>
                <w:szCs w:val="20"/>
                <w:lang w:eastAsia="en-US"/>
              </w:rPr>
              <w:t xml:space="preserve">Údaj vyjadruje medián (strednú hodnotu) priemerných mesačných miezd mužov, refundovanú z projektu. Do údaju sa nezahŕňa mzda osôb, s ktorými bola uzavretá niektorá z dohôd o prácach vykonávanej mimo pracovného pomeru, mzda učňov a študentov na prevádzkovej praxi, príjem súkromných podnikateľov (resp. ich spoločníkov), ktorí nemajú uzavretú pracovnú zmluvu v danej organizácii. </w:t>
            </w:r>
          </w:p>
          <w:p w14:paraId="77406DA9" w14:textId="3B6FF32C" w:rsidR="00621387" w:rsidRPr="008068E9" w:rsidRDefault="00621387" w:rsidP="00621387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E7E28">
              <w:rPr>
                <w:rFonts w:asciiTheme="minorHAnsi" w:eastAsiaTheme="minorHAnsi" w:hAnsiTheme="minorHAnsi" w:cs="Calibri"/>
                <w:color w:val="000000"/>
                <w:sz w:val="20"/>
                <w:szCs w:val="20"/>
                <w:lang w:eastAsia="en-US"/>
              </w:rPr>
              <w:t xml:space="preserve">Metóda výpočtu na úrovni projektu: Medián priemerných mesačných hrubých miezd za všetkých pracovníkov (priemerná mesačná hrubá mzda pracovníka sa vypočíta ako aritmetický priemer mesačných hrubých miezd za odpracované/refundované obdobie), ktorým mzda bola refundovaná počas projektu. </w:t>
            </w:r>
          </w:p>
        </w:tc>
      </w:tr>
      <w:tr w:rsidR="00621387" w14:paraId="49151F80" w14:textId="77777777" w:rsidTr="00B232E7">
        <w:trPr>
          <w:trHeight w:val="31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8B4626" w14:textId="77777777" w:rsidR="00621387" w:rsidRDefault="00621387" w:rsidP="00621387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DEF7" w14:textId="5C5E3E5C" w:rsidR="00621387" w:rsidRPr="008E7E28" w:rsidRDefault="00621387" w:rsidP="00621387">
            <w:pPr>
              <w:rPr>
                <w:rFonts w:asciiTheme="minorHAnsi" w:eastAsiaTheme="minorHAnsi" w:hAnsiTheme="minorHAnsi" w:cs="Calibri"/>
                <w:color w:val="000000"/>
                <w:sz w:val="20"/>
                <w:szCs w:val="20"/>
                <w:lang w:eastAsia="en-US"/>
              </w:rPr>
            </w:pPr>
            <w:r w:rsidRPr="00621387">
              <w:rPr>
                <w:rFonts w:asciiTheme="minorHAnsi" w:eastAsiaTheme="minorHAnsi" w:hAnsiTheme="minorHAnsi" w:cs="Calibri"/>
                <w:color w:val="000000"/>
                <w:sz w:val="20"/>
                <w:szCs w:val="20"/>
                <w:lang w:eastAsia="en-US"/>
              </w:rPr>
              <w:t>D0263 - Mzda žien refundovaná z projektu (priemer)</w:t>
            </w:r>
          </w:p>
        </w:tc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8CAEA7" w14:textId="39990D0A" w:rsidR="00621387" w:rsidRPr="00996851" w:rsidRDefault="00996851" w:rsidP="0062138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color w:val="000000"/>
                <w:sz w:val="20"/>
                <w:szCs w:val="20"/>
                <w:lang w:eastAsia="en-US"/>
              </w:rPr>
            </w:pPr>
            <w:r w:rsidRPr="00B16A31">
              <w:rPr>
                <w:rFonts w:asciiTheme="minorHAnsi" w:hAnsiTheme="minorHAnsi" w:cs="Helvetica"/>
                <w:color w:val="000000"/>
                <w:sz w:val="20"/>
                <w:szCs w:val="20"/>
              </w:rPr>
              <w:t>Údaj vyjadruje priemernú hrubú mesačnú mzdu žien refundovanú z projektu. Do údaju sa nezahŕňa mzda osôb, s ktorými bola uzavretá niektorá z dohôd o prácach vykonávanej mimo pracovného pomer, mzda učníc a študentiek na prevádzkovej praxi, príjem súkromných podnikateliek (resp. ich spoločníkov, spoločníčok), ktoré nemajú uzavretú pracovnú zmluvu v danej organizácii.</w:t>
            </w:r>
            <w:r w:rsidRPr="00B16A31">
              <w:rPr>
                <w:rFonts w:asciiTheme="minorHAnsi" w:hAnsiTheme="minorHAnsi" w:cs="Helvetica"/>
                <w:color w:val="000000"/>
                <w:sz w:val="20"/>
                <w:szCs w:val="20"/>
              </w:rPr>
              <w:br/>
              <w:t>Metóda výpočtu na úrovni projektu: Podiel súčtu priemerných mesačných hrubých miezd za všetky pracovníčky (priemerná mesačná hrubá mzda pracovníčky sa vypočíta ako aritmetický priemer mesačných hrubých miezd za odpracované/refundované obdobie), ktorým mzda bola refundovaná počas projektu (čitateľ) a súčtu daných pracovníčok, prepočítaných na FTE (menovateľ).</w:t>
            </w:r>
          </w:p>
        </w:tc>
      </w:tr>
    </w:tbl>
    <w:p w14:paraId="7A1D121F" w14:textId="77777777" w:rsidR="009A14D9" w:rsidRDefault="009A14D9"/>
    <w:tbl>
      <w:tblPr>
        <w:tblStyle w:val="Mriekatabuky"/>
        <w:tblW w:w="1516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694"/>
        <w:gridCol w:w="3542"/>
        <w:gridCol w:w="8929"/>
      </w:tblGrid>
      <w:tr w:rsidR="005E72F3" w14:paraId="2ED018FF" w14:textId="77777777" w:rsidTr="005E72F3">
        <w:trPr>
          <w:trHeight w:val="31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7BE89798" w14:textId="77FB8305" w:rsidR="005E72F3" w:rsidRDefault="005E72F3" w:rsidP="005E72F3">
            <w:pPr>
              <w:jc w:val="center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Hlavná aktivita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250C9D67" w14:textId="06DE5E4A" w:rsidR="005E72F3" w:rsidRPr="00621387" w:rsidRDefault="005E72F3" w:rsidP="005E72F3">
            <w:pPr>
              <w:jc w:val="center"/>
              <w:rPr>
                <w:rFonts w:asciiTheme="minorHAnsi" w:eastAsiaTheme="minorHAnsi" w:hAnsiTheme="minorHAnsi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Iný údaj projektu</w:t>
            </w:r>
          </w:p>
        </w:tc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6FFF4392" w14:textId="1BD3FFF2" w:rsidR="005E72F3" w:rsidRPr="00A97F7E" w:rsidRDefault="005E72F3" w:rsidP="005E72F3">
            <w:pPr>
              <w:autoSpaceDE w:val="0"/>
              <w:autoSpaceDN w:val="0"/>
              <w:adjustRightInd w:val="0"/>
              <w:jc w:val="center"/>
              <w:rPr>
                <w:rFonts w:asciiTheme="minorHAnsi" w:eastAsiaTheme="minorHAnsi" w:hAnsiTheme="minorHAnsi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en-US"/>
              </w:rPr>
              <w:t>Definícia iného údaju projektu</w:t>
            </w:r>
          </w:p>
        </w:tc>
      </w:tr>
      <w:tr w:rsidR="005E72F3" w14:paraId="29C47172" w14:textId="77777777" w:rsidTr="0025685C">
        <w:trPr>
          <w:trHeight w:val="310"/>
        </w:trPr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0AF300" w14:textId="77777777" w:rsidR="005E72F3" w:rsidRDefault="005E72F3" w:rsidP="005E72F3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00D7" w14:textId="3D99F747" w:rsidR="005E72F3" w:rsidRPr="00621387" w:rsidRDefault="005E72F3" w:rsidP="005E72F3">
            <w:pPr>
              <w:rPr>
                <w:rFonts w:asciiTheme="minorHAnsi" w:eastAsiaTheme="minorHAnsi" w:hAnsiTheme="minorHAnsi" w:cs="Calibri"/>
                <w:color w:val="000000"/>
                <w:sz w:val="20"/>
                <w:szCs w:val="20"/>
                <w:lang w:eastAsia="en-US"/>
              </w:rPr>
            </w:pPr>
            <w:r w:rsidRPr="00621387">
              <w:rPr>
                <w:rFonts w:asciiTheme="minorHAnsi" w:eastAsiaTheme="minorHAnsi" w:hAnsiTheme="minorHAnsi" w:cs="Calibri"/>
                <w:color w:val="000000"/>
                <w:sz w:val="20"/>
                <w:szCs w:val="20"/>
                <w:lang w:eastAsia="en-US"/>
              </w:rPr>
              <w:t>D0264- Mzda žien refundovaná z projektu (medián)</w:t>
            </w:r>
          </w:p>
        </w:tc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24101" w14:textId="2185ABC2" w:rsidR="005E72F3" w:rsidRPr="008E7E28" w:rsidRDefault="005E72F3" w:rsidP="005E72F3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color w:val="000000"/>
                <w:sz w:val="20"/>
                <w:szCs w:val="20"/>
                <w:lang w:eastAsia="en-US"/>
              </w:rPr>
            </w:pPr>
            <w:r w:rsidRPr="00A97F7E">
              <w:rPr>
                <w:rFonts w:asciiTheme="minorHAnsi" w:eastAsiaTheme="minorHAnsi" w:hAnsiTheme="minorHAnsi" w:cs="Calibri"/>
                <w:color w:val="000000"/>
                <w:sz w:val="20"/>
                <w:szCs w:val="20"/>
                <w:lang w:eastAsia="en-US"/>
              </w:rPr>
              <w:t>Údaj vyjadruje medián (strednú hodnotu) priemerných mesačných miezd žien, refundovanú z projektu. Do údaju sa nezahŕňa mzda osôb, s ktorými bola uzavretá niektorá z dohôd o prácach vykonávanej mimo pracovného pomeru, mzda učníc a študentiek na prevádzkovej praxi, príjem súkromných podnikateliek (resp. ich spoločníkov, spoločníčok), ktoré nemajú uzavretú pracovnú zmluvu v danej organizácii.</w:t>
            </w:r>
          </w:p>
        </w:tc>
      </w:tr>
      <w:tr w:rsidR="005E72F3" w14:paraId="004CC281" w14:textId="77777777" w:rsidTr="0025685C">
        <w:trPr>
          <w:trHeight w:val="310"/>
        </w:trPr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727AF3" w14:textId="77777777" w:rsidR="005E72F3" w:rsidRDefault="005E72F3" w:rsidP="005E72F3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8B1A" w14:textId="30C4319E" w:rsidR="005E72F3" w:rsidRPr="00621387" w:rsidRDefault="005E72F3" w:rsidP="005E72F3">
            <w:pPr>
              <w:rPr>
                <w:rFonts w:asciiTheme="minorHAnsi" w:eastAsiaTheme="minorHAnsi" w:hAnsiTheme="minorHAnsi" w:cs="Calibri"/>
                <w:color w:val="000000"/>
                <w:sz w:val="20"/>
                <w:szCs w:val="20"/>
                <w:lang w:eastAsia="en-US"/>
              </w:rPr>
            </w:pPr>
            <w:r w:rsidRPr="00621387">
              <w:rPr>
                <w:rFonts w:asciiTheme="minorHAnsi" w:eastAsiaTheme="minorHAnsi" w:hAnsiTheme="minorHAnsi" w:cs="Calibri"/>
                <w:color w:val="000000"/>
                <w:sz w:val="20"/>
                <w:szCs w:val="20"/>
                <w:lang w:eastAsia="en-US"/>
              </w:rPr>
              <w:t>D0266 - Podiel žien na riadiacich pozíciách projektu</w:t>
            </w:r>
          </w:p>
        </w:tc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1F496" w14:textId="77777777" w:rsidR="005E72F3" w:rsidRPr="00A97F7E" w:rsidRDefault="005E72F3" w:rsidP="005E72F3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color w:val="000000"/>
                <w:sz w:val="20"/>
                <w:szCs w:val="20"/>
                <w:lang w:eastAsia="en-US"/>
              </w:rPr>
            </w:pPr>
            <w:r w:rsidRPr="00A97F7E">
              <w:rPr>
                <w:rFonts w:asciiTheme="minorHAnsi" w:eastAsiaTheme="minorHAnsi" w:hAnsiTheme="minorHAnsi" w:cs="Calibri"/>
                <w:color w:val="000000"/>
                <w:sz w:val="20"/>
                <w:szCs w:val="20"/>
                <w:lang w:eastAsia="en-US"/>
              </w:rPr>
              <w:t xml:space="preserve">Údaj vyjadruje podiel žien na riadiacich pozíciách, zodpovedných za riadenie projektu, alebo časti projektu. </w:t>
            </w:r>
          </w:p>
          <w:p w14:paraId="42211075" w14:textId="77777777" w:rsidR="005E72F3" w:rsidRPr="00A97F7E" w:rsidRDefault="005E72F3" w:rsidP="005E72F3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color w:val="000000"/>
                <w:sz w:val="20"/>
                <w:szCs w:val="20"/>
                <w:lang w:eastAsia="en-US"/>
              </w:rPr>
            </w:pPr>
            <w:r w:rsidRPr="00A97F7E">
              <w:rPr>
                <w:rFonts w:asciiTheme="minorHAnsi" w:eastAsiaTheme="minorHAnsi" w:hAnsiTheme="minorHAnsi" w:cs="Calibri"/>
                <w:color w:val="000000"/>
                <w:sz w:val="20"/>
                <w:szCs w:val="20"/>
                <w:lang w:eastAsia="en-US"/>
              </w:rPr>
              <w:t xml:space="preserve">Za riadiacu pozíciu projektu sa považuje pozícia, z ktorej vyplývajú manažérske a koordinačné úlohy so zodpovednosťou za projekt ako celok, alebo jeho ucelenú čas (zväčša ide o pozície ako projektová manažérka, manažérka projektu, finančná manažérka, líniová manažérka, </w:t>
            </w:r>
          </w:p>
          <w:p w14:paraId="09813CFD" w14:textId="77777777" w:rsidR="005E72F3" w:rsidRPr="00A97F7E" w:rsidRDefault="005E72F3" w:rsidP="005E72F3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color w:val="000000"/>
                <w:sz w:val="20"/>
                <w:szCs w:val="20"/>
                <w:lang w:eastAsia="en-US"/>
              </w:rPr>
            </w:pPr>
            <w:r w:rsidRPr="00A97F7E">
              <w:rPr>
                <w:rFonts w:asciiTheme="minorHAnsi" w:eastAsiaTheme="minorHAnsi" w:hAnsiTheme="minorHAnsi" w:cs="Calibri"/>
                <w:color w:val="000000"/>
                <w:sz w:val="20"/>
                <w:szCs w:val="20"/>
                <w:lang w:eastAsia="en-US"/>
              </w:rPr>
              <w:t xml:space="preserve">manažérka technického zabezpečenia projektu a pod.). Započítavajú sa riadiace pozície na projekte jednak za prijímateľa, ako aj partnerov projektu, avšak bez ohľadu na charakter pozície v danej organizácii (osoba, ktorá vykonáva manažérske a koordinačné úlohy v rámci riadenia projektu nemusí mať formálnu riadiacu, alebo vedúcu pozíciu v danej organizácii). </w:t>
            </w:r>
          </w:p>
          <w:p w14:paraId="3A5C4195" w14:textId="3E0D5947" w:rsidR="005E72F3" w:rsidRPr="008E7E28" w:rsidRDefault="005E72F3" w:rsidP="005E72F3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="Calibri"/>
                <w:color w:val="000000"/>
                <w:sz w:val="20"/>
                <w:szCs w:val="20"/>
                <w:lang w:eastAsia="en-US"/>
              </w:rPr>
            </w:pPr>
            <w:r w:rsidRPr="00A97F7E">
              <w:rPr>
                <w:rFonts w:asciiTheme="minorHAnsi" w:eastAsiaTheme="minorHAnsi" w:hAnsiTheme="minorHAnsi" w:cs="Calibri"/>
                <w:color w:val="000000"/>
                <w:sz w:val="20"/>
                <w:szCs w:val="20"/>
                <w:lang w:eastAsia="en-US"/>
              </w:rPr>
              <w:t>Metóda výpočtu: Podiel súčtu žien v riadiacich pozíciách projektu na celkovom počte osôb v riadiacich pozíciách projektu. Pokiaľ je jedna riadiaca pozícia obsadená 2 osobami na polovičný úväzok, do celkového počtu osôb v riadiacich pozíciách projektu sa započítava hodnota 2.</w:t>
            </w:r>
          </w:p>
        </w:tc>
      </w:tr>
      <w:tr w:rsidR="005E72F3" w14:paraId="12D049AD" w14:textId="77777777" w:rsidTr="0025685C">
        <w:trPr>
          <w:trHeight w:val="310"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714AE" w14:textId="77777777" w:rsidR="005E72F3" w:rsidRDefault="005E72F3" w:rsidP="005E72F3">
            <w:pP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2DE7" w14:textId="37F63FD0" w:rsidR="005E72F3" w:rsidRPr="00F84200" w:rsidRDefault="005E72F3" w:rsidP="005E72F3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F84200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D0267 Podiel žien na iných ako riadiacich pozíciách projektu</w:t>
            </w:r>
          </w:p>
        </w:tc>
        <w:tc>
          <w:tcPr>
            <w:tcW w:w="8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0DD69" w14:textId="77777777" w:rsidR="005E72F3" w:rsidRDefault="005E72F3" w:rsidP="005E72F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D1B8A">
              <w:rPr>
                <w:rFonts w:asciiTheme="minorHAnsi" w:hAnsiTheme="minorHAnsi" w:cstheme="minorHAnsi"/>
                <w:sz w:val="20"/>
                <w:szCs w:val="20"/>
              </w:rPr>
              <w:t xml:space="preserve">Údaj vyjadruje podiel žien na iných než riadiacich,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t.j. na </w:t>
            </w:r>
            <w:r w:rsidRPr="008D1B8A">
              <w:rPr>
                <w:rFonts w:asciiTheme="minorHAnsi" w:hAnsiTheme="minorHAnsi" w:cstheme="minorHAnsi"/>
                <w:sz w:val="20"/>
                <w:szCs w:val="20"/>
              </w:rPr>
              <w:t xml:space="preserve">pozíciách projektu, ktoré nezodpovedajú za riadenie projektu. </w:t>
            </w:r>
          </w:p>
          <w:p w14:paraId="7601FFE6" w14:textId="15484375" w:rsidR="005E72F3" w:rsidRPr="008D1B8A" w:rsidRDefault="005E72F3" w:rsidP="005E72F3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 údaja sa započítavajú pozície členov MOPS zamestnaných v projekte</w:t>
            </w:r>
            <w:r w:rsidRPr="008D1B8A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14:paraId="58BAD6D3" w14:textId="56753576" w:rsidR="005E72F3" w:rsidRPr="008068E9" w:rsidRDefault="005E72F3" w:rsidP="005E72F3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8D1B8A">
              <w:rPr>
                <w:rFonts w:asciiTheme="minorHAnsi" w:hAnsiTheme="minorHAnsi" w:cstheme="minorHAnsi"/>
                <w:sz w:val="20"/>
                <w:szCs w:val="20"/>
              </w:rPr>
              <w:t xml:space="preserve">Metóda výpočtu: Podiel súčtu žien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zamestnaných ako členky MOPS</w:t>
            </w:r>
            <w:r w:rsidRPr="008D1B8A">
              <w:rPr>
                <w:rFonts w:asciiTheme="minorHAnsi" w:hAnsiTheme="minorHAnsi" w:cstheme="minorHAnsi"/>
                <w:sz w:val="20"/>
                <w:szCs w:val="20"/>
              </w:rPr>
              <w:t xml:space="preserve"> na celkovom počte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členov MOPS zamestnaných v projekte</w:t>
            </w:r>
            <w:r w:rsidRPr="008D1B8A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</w:tc>
      </w:tr>
    </w:tbl>
    <w:p w14:paraId="4B071E8F" w14:textId="77777777" w:rsidR="001D0BAA" w:rsidRDefault="001D0BAA" w:rsidP="001D0BAA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  <w:lang w:eastAsia="en-US"/>
        </w:rPr>
        <w:t>Údaje na monitorovanie uplatňovania HP RMŽ a ND</w:t>
      </w:r>
    </w:p>
    <w:p w14:paraId="6B2C3CB2" w14:textId="50F280F1" w:rsidR="001D0BAA" w:rsidRDefault="001D0BAA" w:rsidP="001D0BAA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>SO identifikoval v závislosti od typu aktivít vybrané údaje na monitorovanie uplatňovania HP RMŽ a ND (ďalej len „</w:t>
      </w:r>
      <w:r w:rsidR="00EF4E6C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iné </w:t>
      </w:r>
      <w:r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údaje“), ktorých zoznam je uvedený vyššie. </w:t>
      </w:r>
      <w:r w:rsidR="00EF4E6C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>Iné</w:t>
      </w:r>
      <w:r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 údaje sú merateľné hodnoty </w:t>
      </w:r>
      <w:r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  <w:lang w:eastAsia="en-US"/>
        </w:rPr>
        <w:t xml:space="preserve">odlišné od projektových merateľných ukazovateľov </w:t>
      </w:r>
      <w:r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identifikované pre každú z hlavných aktivít jednotlivých typov aktivít. </w:t>
      </w:r>
    </w:p>
    <w:p w14:paraId="1B217652" w14:textId="653934A3" w:rsidR="001D0BAA" w:rsidRDefault="001D0BAA" w:rsidP="001D0BAA">
      <w:pPr>
        <w:spacing w:after="160" w:line="256" w:lineRule="auto"/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Úspešný žiadateľ v pozícii prijímateľa bude Zmluvou o NFP zaviazaný na vykazovanie </w:t>
      </w:r>
      <w:r w:rsidR="00EF4E6C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iných </w:t>
      </w:r>
      <w:r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údajov prostredníctvom nasledovných monitorovacích dokumentov „Monitorovacia správa s príznakom „výročná““ a „Monitorovacia správa s príznakom „záverečná““. </w:t>
      </w:r>
      <w:r w:rsidR="00EF4E6C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Iné </w:t>
      </w:r>
      <w:r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údaje sa budú vykazovať v monitorovacích správach v časti 10. Iné údaje na úrovni projektu, pričom žiadateľ ako budúci prijímateľ bude vykazovať </w:t>
      </w:r>
      <w:r w:rsidR="00EF4E6C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iné </w:t>
      </w:r>
      <w:r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údaje za každú realizovanú hlavnú aktivitu projektu počas implementácie projektu. Žiadateľ pri vypĺňaní ŽoNFP nestanovuje cieľovú hodnotu </w:t>
      </w:r>
      <w:r w:rsidR="00EF4E6C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iných </w:t>
      </w:r>
      <w:r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údajov a neuvádza ich ani do formuláru ŽoNFP, ani do žiadnej z príloh ŽoNFP. Metodika vykazovania </w:t>
      </w:r>
      <w:r w:rsidR="00EF4E6C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iných </w:t>
      </w:r>
      <w:r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údajov projektu je bližšie definovaná v príručke pre prijímateľa. </w:t>
      </w:r>
    </w:p>
    <w:p w14:paraId="6DC4F2CA" w14:textId="74D0694F" w:rsidR="001D0BAA" w:rsidRDefault="001D0BAA" w:rsidP="001D0BAA">
      <w:pPr>
        <w:spacing w:after="160" w:line="256" w:lineRule="auto"/>
        <w:jc w:val="both"/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Metodika </w:t>
      </w:r>
      <w:r w:rsidR="00EF4E6C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iných </w:t>
      </w:r>
      <w:r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údajov (FTE – full time equivalent/plný pracovný úväzok) je odlišná od nastavenia merateľných hodnôt OP ĽZ (fyzické osoby). Z tohto dôvodu je nutné v prípade potreby usmernenia pri výpočte hodnôt </w:t>
      </w:r>
      <w:r w:rsidR="00EF4E6C"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iných </w:t>
      </w:r>
      <w:r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údajov kontaktovať gestora HP RMŽ a ND a to na emailových adresách </w:t>
      </w:r>
      <w:hyperlink r:id="rId1" w:history="1">
        <w:r>
          <w:rPr>
            <w:rStyle w:val="Hypertextovprepojenie"/>
            <w:rFonts w:asciiTheme="minorHAnsi" w:eastAsiaTheme="minorHAnsi" w:hAnsiTheme="minorHAnsi" w:cstheme="minorHAnsi"/>
            <w:sz w:val="20"/>
            <w:szCs w:val="20"/>
            <w:lang w:eastAsia="en-US"/>
          </w:rPr>
          <w:t>iveta.novomestska@employment.gov.sk</w:t>
        </w:r>
      </w:hyperlink>
      <w:r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 a/alebo </w:t>
      </w:r>
      <w:hyperlink r:id="rId2" w:history="1">
        <w:r>
          <w:rPr>
            <w:rStyle w:val="Hypertextovprepojenie"/>
            <w:rFonts w:asciiTheme="minorHAnsi" w:eastAsiaTheme="minorHAnsi" w:hAnsiTheme="minorHAnsi" w:cstheme="minorHAnsi"/>
            <w:sz w:val="20"/>
            <w:szCs w:val="20"/>
            <w:lang w:eastAsia="en-US"/>
          </w:rPr>
          <w:t>ghp@employment.gov.sk</w:t>
        </w:r>
      </w:hyperlink>
      <w:r>
        <w:rPr>
          <w:rFonts w:asciiTheme="minorHAnsi" w:eastAsiaTheme="minorHAnsi" w:hAnsiTheme="minorHAnsi" w:cstheme="minorHAnsi"/>
          <w:color w:val="000000"/>
          <w:sz w:val="20"/>
          <w:szCs w:val="20"/>
          <w:lang w:eastAsia="en-US"/>
        </w:rPr>
        <w:t xml:space="preserve"> .</w:t>
      </w:r>
    </w:p>
    <w:p w14:paraId="7FD33570" w14:textId="02672920" w:rsidR="001D0BAA" w:rsidRPr="005E72F3" w:rsidRDefault="00EF4E6C" w:rsidP="005E72F3">
      <w:pPr>
        <w:spacing w:after="160" w:line="256" w:lineRule="auto"/>
        <w:jc w:val="both"/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  <w:lang w:eastAsia="en-US"/>
        </w:rPr>
      </w:pPr>
      <w:r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  <w:lang w:eastAsia="en-US"/>
        </w:rPr>
        <w:t xml:space="preserve">Iné </w:t>
      </w:r>
      <w:r w:rsidR="001D0BAA">
        <w:rPr>
          <w:rFonts w:asciiTheme="minorHAnsi" w:eastAsiaTheme="minorHAnsi" w:hAnsiTheme="minorHAnsi" w:cstheme="minorHAnsi"/>
          <w:b/>
          <w:bCs/>
          <w:color w:val="000000"/>
          <w:sz w:val="20"/>
          <w:szCs w:val="20"/>
          <w:lang w:eastAsia="en-US"/>
        </w:rPr>
        <w:t>údaje a ich plnenie nie sú podmienkou poskytnutia príspevku.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/>
        <w:sz w:val="18"/>
      </w:rPr>
      <w:id w:val="-1004195385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05F26ACB" w14:textId="1A3B9771" w:rsidR="00F33F7A" w:rsidRPr="008122BE" w:rsidRDefault="00F33F7A" w:rsidP="008122BE">
        <w:pPr>
          <w:pStyle w:val="Pta"/>
          <w:jc w:val="right"/>
          <w:rPr>
            <w:rFonts w:asciiTheme="minorHAnsi" w:hAnsiTheme="minorHAnsi"/>
            <w:sz w:val="20"/>
          </w:rPr>
        </w:pPr>
        <w:r w:rsidRPr="008122BE">
          <w:rPr>
            <w:rFonts w:asciiTheme="minorHAnsi" w:hAnsiTheme="minorHAnsi"/>
            <w:sz w:val="20"/>
          </w:rPr>
          <w:fldChar w:fldCharType="begin"/>
        </w:r>
        <w:r w:rsidRPr="008122BE">
          <w:rPr>
            <w:rFonts w:asciiTheme="minorHAnsi" w:hAnsiTheme="minorHAnsi"/>
            <w:sz w:val="20"/>
          </w:rPr>
          <w:instrText>PAGE   \* MERGEFORMAT</w:instrText>
        </w:r>
        <w:r w:rsidRPr="008122BE">
          <w:rPr>
            <w:rFonts w:asciiTheme="minorHAnsi" w:hAnsiTheme="minorHAnsi"/>
            <w:sz w:val="20"/>
          </w:rPr>
          <w:fldChar w:fldCharType="separate"/>
        </w:r>
        <w:r w:rsidR="0054587D">
          <w:rPr>
            <w:rFonts w:asciiTheme="minorHAnsi" w:hAnsiTheme="minorHAnsi"/>
            <w:noProof/>
            <w:sz w:val="20"/>
          </w:rPr>
          <w:t>2</w:t>
        </w:r>
        <w:r w:rsidRPr="008122BE">
          <w:rPr>
            <w:rFonts w:asciiTheme="minorHAnsi" w:hAnsiTheme="minorHAnsi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7EBAB3" w14:textId="77777777" w:rsidR="000E668E" w:rsidRDefault="000E668E" w:rsidP="00C15A7A">
      <w:r>
        <w:separator/>
      </w:r>
    </w:p>
  </w:footnote>
  <w:footnote w:type="continuationSeparator" w:id="0">
    <w:p w14:paraId="410694F7" w14:textId="77777777" w:rsidR="000E668E" w:rsidRDefault="000E668E" w:rsidP="00C15A7A">
      <w:r>
        <w:continuationSeparator/>
      </w:r>
    </w:p>
  </w:footnote>
  <w:footnote w:type="continuationNotice" w:id="1">
    <w:p w14:paraId="38B5AD20" w14:textId="77777777" w:rsidR="000E668E" w:rsidRDefault="000E668E"/>
  </w:footnote>
  <w:footnote w:id="2">
    <w:p w14:paraId="538E7C25" w14:textId="147008F4" w:rsidR="00F33F7A" w:rsidRDefault="00F33F7A" w:rsidP="0075548E">
      <w:pPr>
        <w:pStyle w:val="Textpoznmkypodiarou"/>
        <w:jc w:val="both"/>
        <w:rPr>
          <w:rFonts w:asciiTheme="minorHAnsi" w:hAnsiTheme="minorHAnsi" w:cs="Arial"/>
          <w:sz w:val="18"/>
        </w:rPr>
      </w:pPr>
      <w:r w:rsidRPr="00B33A21">
        <w:rPr>
          <w:rStyle w:val="Odkaznapoznmkupodiarou"/>
          <w:rFonts w:asciiTheme="minorHAnsi" w:hAnsiTheme="minorHAnsi" w:cs="Arial"/>
          <w:sz w:val="18"/>
        </w:rPr>
        <w:footnoteRef/>
      </w:r>
      <w:r w:rsidRPr="00B33A21">
        <w:rPr>
          <w:rFonts w:asciiTheme="minorHAnsi" w:hAnsiTheme="minorHAnsi" w:cs="Arial"/>
          <w:sz w:val="18"/>
        </w:rPr>
        <w:t xml:space="preserve"> Do súčtu sa každá hodnota započítava a vykazuje v priebehu realizácie projektu</w:t>
      </w:r>
      <w:r>
        <w:rPr>
          <w:rFonts w:asciiTheme="minorHAnsi" w:hAnsiTheme="minorHAnsi" w:cs="Arial"/>
          <w:sz w:val="18"/>
        </w:rPr>
        <w:t xml:space="preserve"> v monitorovacích správach s príznakom „výročná“</w:t>
      </w:r>
      <w:r w:rsidRPr="00B33A21">
        <w:rPr>
          <w:rFonts w:asciiTheme="minorHAnsi" w:hAnsiTheme="minorHAnsi" w:cs="Arial"/>
          <w:sz w:val="18"/>
        </w:rPr>
        <w:t xml:space="preserve"> iba raz a to v čase prvotnej realizácie. Pri ukončení projektu a predložení monitorovacej správy s príznakom „záverečná“ prijímateľ vykazuje súčet jednotlivo vykazovaných hodnôt. </w:t>
      </w:r>
    </w:p>
    <w:p w14:paraId="3F836358" w14:textId="2CCA3BA8" w:rsidR="008802CB" w:rsidRPr="00B07353" w:rsidRDefault="008802CB" w:rsidP="0075548E">
      <w:pPr>
        <w:pStyle w:val="Textpoznmkypodiarou"/>
        <w:jc w:val="both"/>
        <w:rPr>
          <w:rFonts w:ascii="Arial" w:hAnsi="Arial" w:cs="Arial"/>
          <w:i/>
          <w:sz w:val="16"/>
          <w:szCs w:val="16"/>
        </w:rPr>
      </w:pPr>
      <w:r w:rsidRPr="008802CB">
        <w:rPr>
          <w:rFonts w:ascii="Arial" w:hAnsi="Arial" w:cs="Arial"/>
          <w:i/>
          <w:sz w:val="16"/>
          <w:szCs w:val="16"/>
        </w:rPr>
        <w:t xml:space="preserve">Príklad: V čase predloženia monitorovacej správy „Doplňujúce monitorovacie údajov k ŽoP“ prijímateľ </w:t>
      </w:r>
      <w:r>
        <w:rPr>
          <w:rFonts w:ascii="Arial" w:hAnsi="Arial" w:cs="Arial"/>
          <w:i/>
          <w:sz w:val="16"/>
          <w:szCs w:val="16"/>
        </w:rPr>
        <w:t>riešil</w:t>
      </w:r>
      <w:r w:rsidR="00C275A5">
        <w:rPr>
          <w:rFonts w:ascii="Arial" w:hAnsi="Arial" w:cs="Arial"/>
          <w:i/>
          <w:sz w:val="16"/>
          <w:szCs w:val="16"/>
        </w:rPr>
        <w:t xml:space="preserve"> iba</w:t>
      </w:r>
      <w:r>
        <w:rPr>
          <w:rFonts w:ascii="Arial" w:hAnsi="Arial" w:cs="Arial"/>
          <w:i/>
          <w:sz w:val="16"/>
          <w:szCs w:val="16"/>
        </w:rPr>
        <w:t xml:space="preserve"> 5 udalostí v oblasti ochrany </w:t>
      </w:r>
      <w:r w:rsidR="00C275A5">
        <w:rPr>
          <w:rFonts w:ascii="Arial" w:hAnsi="Arial" w:cs="Arial"/>
          <w:i/>
          <w:sz w:val="16"/>
          <w:szCs w:val="16"/>
        </w:rPr>
        <w:t>majetku, z toho 3 ešte nie sú ukončené</w:t>
      </w:r>
      <w:r w:rsidRPr="008802CB">
        <w:rPr>
          <w:rFonts w:ascii="Arial" w:hAnsi="Arial" w:cs="Arial"/>
          <w:i/>
          <w:sz w:val="16"/>
          <w:szCs w:val="16"/>
        </w:rPr>
        <w:t xml:space="preserve">. V položke „Počet </w:t>
      </w:r>
      <w:r w:rsidR="00C275A5">
        <w:rPr>
          <w:rFonts w:ascii="Arial" w:hAnsi="Arial" w:cs="Arial"/>
          <w:i/>
          <w:sz w:val="16"/>
          <w:szCs w:val="16"/>
        </w:rPr>
        <w:t>riešených udalostí v oblasti ochrany majetku“ teda uvedenie hodnotu „5</w:t>
      </w:r>
      <w:r w:rsidRPr="008802CB">
        <w:rPr>
          <w:rFonts w:ascii="Arial" w:hAnsi="Arial" w:cs="Arial"/>
          <w:i/>
          <w:sz w:val="16"/>
          <w:szCs w:val="16"/>
        </w:rPr>
        <w:t>“.  V čase predloženia ďalšej monitorovacej správy „Doplňujúce monitorovacie údaje k ŽoP“ alebo „Monitorovacej správy s príznakom výročná“ prijíma</w:t>
      </w:r>
      <w:r w:rsidR="00C275A5">
        <w:rPr>
          <w:rFonts w:ascii="Arial" w:hAnsi="Arial" w:cs="Arial"/>
          <w:i/>
          <w:sz w:val="16"/>
          <w:szCs w:val="16"/>
        </w:rPr>
        <w:t xml:space="preserve">teľ už ukončil tie 3 otvorené udalosti v oblasti ochrany majetku a začal riešiť ďalšie dve udalosti a teda v položke </w:t>
      </w:r>
      <w:r w:rsidR="00C275A5" w:rsidRPr="00C275A5">
        <w:rPr>
          <w:rFonts w:ascii="Arial" w:hAnsi="Arial" w:cs="Arial"/>
          <w:i/>
          <w:sz w:val="16"/>
          <w:szCs w:val="16"/>
        </w:rPr>
        <w:t>„Počet riešených udalostí v oblasti ochrany majetku</w:t>
      </w:r>
      <w:r w:rsidRPr="008802CB">
        <w:rPr>
          <w:rFonts w:ascii="Arial" w:hAnsi="Arial" w:cs="Arial"/>
          <w:i/>
          <w:sz w:val="16"/>
          <w:szCs w:val="16"/>
        </w:rPr>
        <w:t xml:space="preserve">“ uvedenie </w:t>
      </w:r>
      <w:r w:rsidR="00C275A5">
        <w:rPr>
          <w:rFonts w:ascii="Arial" w:hAnsi="Arial" w:cs="Arial"/>
          <w:i/>
          <w:sz w:val="16"/>
          <w:szCs w:val="16"/>
        </w:rPr>
        <w:t>hodnotu „2</w:t>
      </w:r>
      <w:r w:rsidRPr="008802CB">
        <w:rPr>
          <w:rFonts w:ascii="Arial" w:hAnsi="Arial" w:cs="Arial"/>
          <w:i/>
          <w:sz w:val="16"/>
          <w:szCs w:val="16"/>
        </w:rPr>
        <w:t>“. V čase predkladania „Monitorovacej správy s príznakom záverečná“ prijímateľ uvedie hodnotu, ktorá je súčtom hodnôt z jednotlivých monitorovacích správ t.j. v tomto prípade prijímateľ uvedie v položke „</w:t>
      </w:r>
      <w:r w:rsidR="00C275A5" w:rsidRPr="00C275A5">
        <w:rPr>
          <w:rFonts w:ascii="Arial" w:hAnsi="Arial" w:cs="Arial"/>
          <w:i/>
          <w:sz w:val="16"/>
          <w:szCs w:val="16"/>
        </w:rPr>
        <w:t>Počet riešených udalostí v oblasti ochrany majetku</w:t>
      </w:r>
      <w:r w:rsidR="00C275A5">
        <w:rPr>
          <w:rFonts w:ascii="Arial" w:hAnsi="Arial" w:cs="Arial"/>
          <w:i/>
          <w:sz w:val="16"/>
          <w:szCs w:val="16"/>
        </w:rPr>
        <w:t>“ hodnotu „7</w:t>
      </w:r>
      <w:r w:rsidRPr="008802CB">
        <w:rPr>
          <w:rFonts w:ascii="Arial" w:hAnsi="Arial" w:cs="Arial"/>
          <w:i/>
          <w:sz w:val="16"/>
          <w:szCs w:val="16"/>
        </w:rPr>
        <w:t>“.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2E1884" w14:textId="2543EC7B" w:rsidR="00F33F7A" w:rsidRDefault="00F33F7A" w:rsidP="00332728">
    <w:pPr>
      <w:pStyle w:val="Hlavika"/>
      <w:jc w:val="center"/>
    </w:pPr>
    <w:r w:rsidRPr="00C7393E">
      <w:rPr>
        <w:noProof/>
      </w:rPr>
      <w:drawing>
        <wp:inline distT="0" distB="0" distL="0" distR="0" wp14:anchorId="42A043C9" wp14:editId="195550AF">
          <wp:extent cx="5760720" cy="407670"/>
          <wp:effectExtent l="0" t="0" r="0" b="0"/>
          <wp:docPr id="1" name="Obrázok 1" descr="C:\Users\kopcova2725860\AppData\Local\Microsoft\Windows\Temporary Internet Files\Content.Outlook\V256OTPR\troj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pcova2725860\AppData\Local\Microsoft\Windows\Temporary Internet Files\Content.Outlook\V256OTPR\troj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7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052D0"/>
    <w:multiLevelType w:val="hybridMultilevel"/>
    <w:tmpl w:val="97ECE0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8109AA"/>
    <w:multiLevelType w:val="multilevel"/>
    <w:tmpl w:val="8C38D74C"/>
    <w:lvl w:ilvl="0">
      <w:start w:val="1"/>
      <w:numFmt w:val="decimal"/>
      <w:pStyle w:val="2urove"/>
      <w:lvlText w:val="%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pStyle w:val="Nadpis3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F7F7971"/>
    <w:multiLevelType w:val="hybridMultilevel"/>
    <w:tmpl w:val="CB5061B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1E26F8"/>
    <w:multiLevelType w:val="hybridMultilevel"/>
    <w:tmpl w:val="5964B2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1B63C9"/>
    <w:multiLevelType w:val="hybridMultilevel"/>
    <w:tmpl w:val="F724CB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trackRevisions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pos w:val="sectEnd"/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A7A"/>
    <w:rsid w:val="00007C2D"/>
    <w:rsid w:val="00020B0D"/>
    <w:rsid w:val="0002180F"/>
    <w:rsid w:val="000273FD"/>
    <w:rsid w:val="000302BA"/>
    <w:rsid w:val="00042935"/>
    <w:rsid w:val="00043C31"/>
    <w:rsid w:val="00043E0F"/>
    <w:rsid w:val="000505D9"/>
    <w:rsid w:val="0005366D"/>
    <w:rsid w:val="00067347"/>
    <w:rsid w:val="00082EA4"/>
    <w:rsid w:val="00092CFC"/>
    <w:rsid w:val="00096198"/>
    <w:rsid w:val="000A564A"/>
    <w:rsid w:val="000A7EAD"/>
    <w:rsid w:val="000B70A1"/>
    <w:rsid w:val="000B7B37"/>
    <w:rsid w:val="000C227F"/>
    <w:rsid w:val="000D0584"/>
    <w:rsid w:val="000D7452"/>
    <w:rsid w:val="000E2616"/>
    <w:rsid w:val="000E5E06"/>
    <w:rsid w:val="000E668E"/>
    <w:rsid w:val="000F028D"/>
    <w:rsid w:val="000F4400"/>
    <w:rsid w:val="0010494E"/>
    <w:rsid w:val="0010666A"/>
    <w:rsid w:val="00110BD8"/>
    <w:rsid w:val="001162A0"/>
    <w:rsid w:val="00126CCE"/>
    <w:rsid w:val="00131DBC"/>
    <w:rsid w:val="00134F71"/>
    <w:rsid w:val="00135A4C"/>
    <w:rsid w:val="001429FC"/>
    <w:rsid w:val="00142E43"/>
    <w:rsid w:val="001449B5"/>
    <w:rsid w:val="0014695A"/>
    <w:rsid w:val="00176DF1"/>
    <w:rsid w:val="00182850"/>
    <w:rsid w:val="00191801"/>
    <w:rsid w:val="001932C6"/>
    <w:rsid w:val="001B3486"/>
    <w:rsid w:val="001B6ACF"/>
    <w:rsid w:val="001D0BAA"/>
    <w:rsid w:val="001D6098"/>
    <w:rsid w:val="001D7403"/>
    <w:rsid w:val="001E4DE1"/>
    <w:rsid w:val="001E5B0A"/>
    <w:rsid w:val="001F1AE8"/>
    <w:rsid w:val="001F20A3"/>
    <w:rsid w:val="001F64E7"/>
    <w:rsid w:val="001F684D"/>
    <w:rsid w:val="001F6B35"/>
    <w:rsid w:val="002042C6"/>
    <w:rsid w:val="00223DF8"/>
    <w:rsid w:val="00241AC2"/>
    <w:rsid w:val="002434AA"/>
    <w:rsid w:val="00252DE5"/>
    <w:rsid w:val="0026377A"/>
    <w:rsid w:val="002659E1"/>
    <w:rsid w:val="002713C7"/>
    <w:rsid w:val="002730B0"/>
    <w:rsid w:val="002758C6"/>
    <w:rsid w:val="00282696"/>
    <w:rsid w:val="002876CE"/>
    <w:rsid w:val="0029361A"/>
    <w:rsid w:val="00293B4E"/>
    <w:rsid w:val="002A088B"/>
    <w:rsid w:val="002A2EBE"/>
    <w:rsid w:val="002B36CB"/>
    <w:rsid w:val="002B57BD"/>
    <w:rsid w:val="002B6927"/>
    <w:rsid w:val="002C2CBB"/>
    <w:rsid w:val="002C67C5"/>
    <w:rsid w:val="002D11C2"/>
    <w:rsid w:val="002E6C25"/>
    <w:rsid w:val="002F2BCC"/>
    <w:rsid w:val="002F5756"/>
    <w:rsid w:val="002F6AAA"/>
    <w:rsid w:val="002F72D5"/>
    <w:rsid w:val="002F7C6D"/>
    <w:rsid w:val="00302A4C"/>
    <w:rsid w:val="00326234"/>
    <w:rsid w:val="00326BDB"/>
    <w:rsid w:val="00330335"/>
    <w:rsid w:val="0033225E"/>
    <w:rsid w:val="00332728"/>
    <w:rsid w:val="00344642"/>
    <w:rsid w:val="00345353"/>
    <w:rsid w:val="003518D7"/>
    <w:rsid w:val="00351DC8"/>
    <w:rsid w:val="00355F72"/>
    <w:rsid w:val="00356891"/>
    <w:rsid w:val="00357A5E"/>
    <w:rsid w:val="00363653"/>
    <w:rsid w:val="00363DF9"/>
    <w:rsid w:val="00364A76"/>
    <w:rsid w:val="00365BB4"/>
    <w:rsid w:val="00367CC7"/>
    <w:rsid w:val="00370A2D"/>
    <w:rsid w:val="003745B2"/>
    <w:rsid w:val="00375E36"/>
    <w:rsid w:val="003775A6"/>
    <w:rsid w:val="00387A4F"/>
    <w:rsid w:val="0039153E"/>
    <w:rsid w:val="003921DC"/>
    <w:rsid w:val="003A2581"/>
    <w:rsid w:val="003A582D"/>
    <w:rsid w:val="003A635F"/>
    <w:rsid w:val="003A752A"/>
    <w:rsid w:val="003B180F"/>
    <w:rsid w:val="003B27E9"/>
    <w:rsid w:val="003C7C5B"/>
    <w:rsid w:val="003C7D2F"/>
    <w:rsid w:val="003D48A9"/>
    <w:rsid w:val="003E1F34"/>
    <w:rsid w:val="003E3891"/>
    <w:rsid w:val="003F659C"/>
    <w:rsid w:val="00402A6B"/>
    <w:rsid w:val="00402D6B"/>
    <w:rsid w:val="00402E62"/>
    <w:rsid w:val="00410FB4"/>
    <w:rsid w:val="00411EEE"/>
    <w:rsid w:val="004129EB"/>
    <w:rsid w:val="00412B07"/>
    <w:rsid w:val="00433096"/>
    <w:rsid w:val="00444750"/>
    <w:rsid w:val="00461674"/>
    <w:rsid w:val="00464593"/>
    <w:rsid w:val="00482549"/>
    <w:rsid w:val="004865AB"/>
    <w:rsid w:val="004911A7"/>
    <w:rsid w:val="004A7352"/>
    <w:rsid w:val="004B0A49"/>
    <w:rsid w:val="004B5C12"/>
    <w:rsid w:val="004C34EB"/>
    <w:rsid w:val="004C7FA2"/>
    <w:rsid w:val="004D2906"/>
    <w:rsid w:val="004E18E9"/>
    <w:rsid w:val="004E1FAC"/>
    <w:rsid w:val="004E33BD"/>
    <w:rsid w:val="004E3A76"/>
    <w:rsid w:val="004E4E67"/>
    <w:rsid w:val="004F4023"/>
    <w:rsid w:val="004F4F6C"/>
    <w:rsid w:val="00503534"/>
    <w:rsid w:val="00515A4E"/>
    <w:rsid w:val="005167E6"/>
    <w:rsid w:val="005231C2"/>
    <w:rsid w:val="005257CF"/>
    <w:rsid w:val="0052699E"/>
    <w:rsid w:val="00537985"/>
    <w:rsid w:val="0054587D"/>
    <w:rsid w:val="005460B4"/>
    <w:rsid w:val="0054728C"/>
    <w:rsid w:val="00551248"/>
    <w:rsid w:val="00551866"/>
    <w:rsid w:val="005574E9"/>
    <w:rsid w:val="005620CC"/>
    <w:rsid w:val="005629BF"/>
    <w:rsid w:val="0056797B"/>
    <w:rsid w:val="00573768"/>
    <w:rsid w:val="00575B50"/>
    <w:rsid w:val="0057679B"/>
    <w:rsid w:val="00591E9C"/>
    <w:rsid w:val="005933B0"/>
    <w:rsid w:val="005A076C"/>
    <w:rsid w:val="005A44B7"/>
    <w:rsid w:val="005A54CF"/>
    <w:rsid w:val="005D0FDD"/>
    <w:rsid w:val="005E27BC"/>
    <w:rsid w:val="005E5AE5"/>
    <w:rsid w:val="005E72F3"/>
    <w:rsid w:val="005F2D41"/>
    <w:rsid w:val="00601946"/>
    <w:rsid w:val="00615B70"/>
    <w:rsid w:val="00621141"/>
    <w:rsid w:val="00621387"/>
    <w:rsid w:val="006231F3"/>
    <w:rsid w:val="0062327A"/>
    <w:rsid w:val="00625230"/>
    <w:rsid w:val="0063330E"/>
    <w:rsid w:val="00633D1A"/>
    <w:rsid w:val="00640BF9"/>
    <w:rsid w:val="006423C7"/>
    <w:rsid w:val="00644E2B"/>
    <w:rsid w:val="00652098"/>
    <w:rsid w:val="00662AE0"/>
    <w:rsid w:val="006728C4"/>
    <w:rsid w:val="0068577B"/>
    <w:rsid w:val="00692897"/>
    <w:rsid w:val="00697AFC"/>
    <w:rsid w:val="006A348E"/>
    <w:rsid w:val="006A5C08"/>
    <w:rsid w:val="006A6AE9"/>
    <w:rsid w:val="006B07D7"/>
    <w:rsid w:val="006B60B2"/>
    <w:rsid w:val="006C09B5"/>
    <w:rsid w:val="006C4F33"/>
    <w:rsid w:val="006D0F06"/>
    <w:rsid w:val="006D162A"/>
    <w:rsid w:val="006D212B"/>
    <w:rsid w:val="006E7644"/>
    <w:rsid w:val="006F56A4"/>
    <w:rsid w:val="006F6E80"/>
    <w:rsid w:val="007129A8"/>
    <w:rsid w:val="00717535"/>
    <w:rsid w:val="00720AD0"/>
    <w:rsid w:val="0072208D"/>
    <w:rsid w:val="00725029"/>
    <w:rsid w:val="00725A0D"/>
    <w:rsid w:val="00726C8E"/>
    <w:rsid w:val="007435CB"/>
    <w:rsid w:val="00744167"/>
    <w:rsid w:val="0074574D"/>
    <w:rsid w:val="0074750F"/>
    <w:rsid w:val="00754CF3"/>
    <w:rsid w:val="0075548E"/>
    <w:rsid w:val="00761D2C"/>
    <w:rsid w:val="00770028"/>
    <w:rsid w:val="00773CA9"/>
    <w:rsid w:val="007746E7"/>
    <w:rsid w:val="007845D6"/>
    <w:rsid w:val="00790771"/>
    <w:rsid w:val="00790974"/>
    <w:rsid w:val="007959E2"/>
    <w:rsid w:val="0079655D"/>
    <w:rsid w:val="007A005E"/>
    <w:rsid w:val="007A4A85"/>
    <w:rsid w:val="007C3AEC"/>
    <w:rsid w:val="007C4EBA"/>
    <w:rsid w:val="007D089E"/>
    <w:rsid w:val="007D21DD"/>
    <w:rsid w:val="007D379E"/>
    <w:rsid w:val="007D3DB7"/>
    <w:rsid w:val="007D40D4"/>
    <w:rsid w:val="007F3355"/>
    <w:rsid w:val="00803299"/>
    <w:rsid w:val="008068E9"/>
    <w:rsid w:val="008075C2"/>
    <w:rsid w:val="008122BE"/>
    <w:rsid w:val="00814200"/>
    <w:rsid w:val="00814B19"/>
    <w:rsid w:val="0081666B"/>
    <w:rsid w:val="0081745D"/>
    <w:rsid w:val="00831817"/>
    <w:rsid w:val="0083550A"/>
    <w:rsid w:val="0084132E"/>
    <w:rsid w:val="00854B5C"/>
    <w:rsid w:val="00857016"/>
    <w:rsid w:val="008615BC"/>
    <w:rsid w:val="0087049D"/>
    <w:rsid w:val="008802CB"/>
    <w:rsid w:val="00881850"/>
    <w:rsid w:val="00886D2E"/>
    <w:rsid w:val="008933F7"/>
    <w:rsid w:val="00897103"/>
    <w:rsid w:val="008B25CA"/>
    <w:rsid w:val="008B32CD"/>
    <w:rsid w:val="008C1367"/>
    <w:rsid w:val="008C7202"/>
    <w:rsid w:val="008D70E6"/>
    <w:rsid w:val="008E1B92"/>
    <w:rsid w:val="008E79DB"/>
    <w:rsid w:val="008F305B"/>
    <w:rsid w:val="00900E49"/>
    <w:rsid w:val="00902C65"/>
    <w:rsid w:val="00903861"/>
    <w:rsid w:val="009043EF"/>
    <w:rsid w:val="00910B1C"/>
    <w:rsid w:val="009158A9"/>
    <w:rsid w:val="009212BB"/>
    <w:rsid w:val="009275C4"/>
    <w:rsid w:val="00930FC4"/>
    <w:rsid w:val="00942504"/>
    <w:rsid w:val="00943F35"/>
    <w:rsid w:val="00946EE3"/>
    <w:rsid w:val="009470F9"/>
    <w:rsid w:val="009514EC"/>
    <w:rsid w:val="00955C28"/>
    <w:rsid w:val="00963748"/>
    <w:rsid w:val="009769BD"/>
    <w:rsid w:val="00976F84"/>
    <w:rsid w:val="00980C1D"/>
    <w:rsid w:val="00993E99"/>
    <w:rsid w:val="009966BA"/>
    <w:rsid w:val="00996851"/>
    <w:rsid w:val="009A14D9"/>
    <w:rsid w:val="009A53AB"/>
    <w:rsid w:val="009A7226"/>
    <w:rsid w:val="009B2800"/>
    <w:rsid w:val="009C1093"/>
    <w:rsid w:val="009C4601"/>
    <w:rsid w:val="009C793C"/>
    <w:rsid w:val="009D2002"/>
    <w:rsid w:val="009E5DD6"/>
    <w:rsid w:val="009E676F"/>
    <w:rsid w:val="009F4EC2"/>
    <w:rsid w:val="00A043E0"/>
    <w:rsid w:val="00A0696F"/>
    <w:rsid w:val="00A13ED8"/>
    <w:rsid w:val="00A23A0B"/>
    <w:rsid w:val="00A2492F"/>
    <w:rsid w:val="00A46E7B"/>
    <w:rsid w:val="00A51D7B"/>
    <w:rsid w:val="00A51F23"/>
    <w:rsid w:val="00A57B2B"/>
    <w:rsid w:val="00A71615"/>
    <w:rsid w:val="00A74B01"/>
    <w:rsid w:val="00A81374"/>
    <w:rsid w:val="00A816D4"/>
    <w:rsid w:val="00A93259"/>
    <w:rsid w:val="00A94857"/>
    <w:rsid w:val="00A959AA"/>
    <w:rsid w:val="00A95FB4"/>
    <w:rsid w:val="00A97F7E"/>
    <w:rsid w:val="00AA0A31"/>
    <w:rsid w:val="00AA654D"/>
    <w:rsid w:val="00AB0AA7"/>
    <w:rsid w:val="00AB227B"/>
    <w:rsid w:val="00AB4E41"/>
    <w:rsid w:val="00AD68D8"/>
    <w:rsid w:val="00AE14E6"/>
    <w:rsid w:val="00AE3B4C"/>
    <w:rsid w:val="00AE6424"/>
    <w:rsid w:val="00AF2E89"/>
    <w:rsid w:val="00AF6285"/>
    <w:rsid w:val="00B00ED3"/>
    <w:rsid w:val="00B024A1"/>
    <w:rsid w:val="00B03174"/>
    <w:rsid w:val="00B032BD"/>
    <w:rsid w:val="00B065CC"/>
    <w:rsid w:val="00B07353"/>
    <w:rsid w:val="00B16A31"/>
    <w:rsid w:val="00B232E7"/>
    <w:rsid w:val="00B30461"/>
    <w:rsid w:val="00B33A21"/>
    <w:rsid w:val="00B41746"/>
    <w:rsid w:val="00B550BA"/>
    <w:rsid w:val="00B55937"/>
    <w:rsid w:val="00B7092D"/>
    <w:rsid w:val="00B71E3F"/>
    <w:rsid w:val="00B819A0"/>
    <w:rsid w:val="00B85CDB"/>
    <w:rsid w:val="00B86D38"/>
    <w:rsid w:val="00B94A2D"/>
    <w:rsid w:val="00BA07E9"/>
    <w:rsid w:val="00BA2BB1"/>
    <w:rsid w:val="00BB1333"/>
    <w:rsid w:val="00BC3A3C"/>
    <w:rsid w:val="00BD2212"/>
    <w:rsid w:val="00BD5599"/>
    <w:rsid w:val="00BD7483"/>
    <w:rsid w:val="00BD7802"/>
    <w:rsid w:val="00BE0355"/>
    <w:rsid w:val="00BE2E22"/>
    <w:rsid w:val="00BF4AA2"/>
    <w:rsid w:val="00C00DCE"/>
    <w:rsid w:val="00C02EE8"/>
    <w:rsid w:val="00C13E47"/>
    <w:rsid w:val="00C151F4"/>
    <w:rsid w:val="00C15A7A"/>
    <w:rsid w:val="00C17A5F"/>
    <w:rsid w:val="00C25F68"/>
    <w:rsid w:val="00C275A5"/>
    <w:rsid w:val="00C27897"/>
    <w:rsid w:val="00C348F2"/>
    <w:rsid w:val="00C408F9"/>
    <w:rsid w:val="00C46247"/>
    <w:rsid w:val="00C571FA"/>
    <w:rsid w:val="00C57265"/>
    <w:rsid w:val="00C60914"/>
    <w:rsid w:val="00C655DE"/>
    <w:rsid w:val="00C656F0"/>
    <w:rsid w:val="00C669CE"/>
    <w:rsid w:val="00C66D5B"/>
    <w:rsid w:val="00C673C5"/>
    <w:rsid w:val="00C83EF4"/>
    <w:rsid w:val="00C908AD"/>
    <w:rsid w:val="00CA105C"/>
    <w:rsid w:val="00CA2B54"/>
    <w:rsid w:val="00CA4385"/>
    <w:rsid w:val="00CC19B3"/>
    <w:rsid w:val="00CC2170"/>
    <w:rsid w:val="00CC2D80"/>
    <w:rsid w:val="00CC4813"/>
    <w:rsid w:val="00CE1A3B"/>
    <w:rsid w:val="00CE4210"/>
    <w:rsid w:val="00CE4C8C"/>
    <w:rsid w:val="00CF3F8B"/>
    <w:rsid w:val="00D00742"/>
    <w:rsid w:val="00D06DE9"/>
    <w:rsid w:val="00D13EDC"/>
    <w:rsid w:val="00D153E1"/>
    <w:rsid w:val="00D2324E"/>
    <w:rsid w:val="00D26E54"/>
    <w:rsid w:val="00D42589"/>
    <w:rsid w:val="00D46266"/>
    <w:rsid w:val="00D4713C"/>
    <w:rsid w:val="00D47ECE"/>
    <w:rsid w:val="00D51608"/>
    <w:rsid w:val="00D520E7"/>
    <w:rsid w:val="00D52CD3"/>
    <w:rsid w:val="00D54FFE"/>
    <w:rsid w:val="00D573BA"/>
    <w:rsid w:val="00D717E6"/>
    <w:rsid w:val="00D7193B"/>
    <w:rsid w:val="00D722CD"/>
    <w:rsid w:val="00D84CB4"/>
    <w:rsid w:val="00D85DCE"/>
    <w:rsid w:val="00D92ED3"/>
    <w:rsid w:val="00D96CEC"/>
    <w:rsid w:val="00DA5E77"/>
    <w:rsid w:val="00DB16BD"/>
    <w:rsid w:val="00DB1C9B"/>
    <w:rsid w:val="00DB3139"/>
    <w:rsid w:val="00DB5E8A"/>
    <w:rsid w:val="00DC0DBD"/>
    <w:rsid w:val="00DC6B6E"/>
    <w:rsid w:val="00DD311F"/>
    <w:rsid w:val="00DD5527"/>
    <w:rsid w:val="00DE000F"/>
    <w:rsid w:val="00DE2315"/>
    <w:rsid w:val="00DE6103"/>
    <w:rsid w:val="00DF0E2C"/>
    <w:rsid w:val="00DF41E9"/>
    <w:rsid w:val="00DF6C78"/>
    <w:rsid w:val="00E03CBB"/>
    <w:rsid w:val="00E1110A"/>
    <w:rsid w:val="00E14ECC"/>
    <w:rsid w:val="00E202FA"/>
    <w:rsid w:val="00E21336"/>
    <w:rsid w:val="00E26747"/>
    <w:rsid w:val="00E268DB"/>
    <w:rsid w:val="00E3009E"/>
    <w:rsid w:val="00E327FE"/>
    <w:rsid w:val="00E33457"/>
    <w:rsid w:val="00E34F20"/>
    <w:rsid w:val="00E3746F"/>
    <w:rsid w:val="00E50F9C"/>
    <w:rsid w:val="00E534F1"/>
    <w:rsid w:val="00E63432"/>
    <w:rsid w:val="00E63580"/>
    <w:rsid w:val="00E77BFA"/>
    <w:rsid w:val="00E77FD7"/>
    <w:rsid w:val="00E81C80"/>
    <w:rsid w:val="00E82D39"/>
    <w:rsid w:val="00EA3C3F"/>
    <w:rsid w:val="00EA4352"/>
    <w:rsid w:val="00EA47AB"/>
    <w:rsid w:val="00EA68AA"/>
    <w:rsid w:val="00EC04AB"/>
    <w:rsid w:val="00EC39BA"/>
    <w:rsid w:val="00EC7371"/>
    <w:rsid w:val="00EE7546"/>
    <w:rsid w:val="00EF0719"/>
    <w:rsid w:val="00EF2251"/>
    <w:rsid w:val="00EF4E6C"/>
    <w:rsid w:val="00F0136F"/>
    <w:rsid w:val="00F050EF"/>
    <w:rsid w:val="00F1327F"/>
    <w:rsid w:val="00F13F0F"/>
    <w:rsid w:val="00F225A0"/>
    <w:rsid w:val="00F23BFA"/>
    <w:rsid w:val="00F26FB4"/>
    <w:rsid w:val="00F330C2"/>
    <w:rsid w:val="00F33F7A"/>
    <w:rsid w:val="00F40421"/>
    <w:rsid w:val="00F44179"/>
    <w:rsid w:val="00F54581"/>
    <w:rsid w:val="00F5788A"/>
    <w:rsid w:val="00F63D60"/>
    <w:rsid w:val="00F71361"/>
    <w:rsid w:val="00F7499D"/>
    <w:rsid w:val="00F777DD"/>
    <w:rsid w:val="00F8002E"/>
    <w:rsid w:val="00F84200"/>
    <w:rsid w:val="00F90DB1"/>
    <w:rsid w:val="00F92786"/>
    <w:rsid w:val="00FA0DDD"/>
    <w:rsid w:val="00FA1084"/>
    <w:rsid w:val="00FA3399"/>
    <w:rsid w:val="00FA7A6F"/>
    <w:rsid w:val="00FB0356"/>
    <w:rsid w:val="00FB2C54"/>
    <w:rsid w:val="00FB5C62"/>
    <w:rsid w:val="00FD56FD"/>
    <w:rsid w:val="00FD68EF"/>
    <w:rsid w:val="00FF0EB5"/>
    <w:rsid w:val="2701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6F5FDCF"/>
  <w15:docId w15:val="{D381E9AE-8545-4F1A-8C56-5D3A6BF61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43C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aliases w:val="3"/>
    <w:basedOn w:val="Normlny"/>
    <w:link w:val="Nadpis3Char"/>
    <w:autoRedefine/>
    <w:qFormat/>
    <w:rsid w:val="00B33A21"/>
    <w:pPr>
      <w:keepNext/>
      <w:keepLines/>
      <w:widowControl w:val="0"/>
      <w:numPr>
        <w:ilvl w:val="1"/>
        <w:numId w:val="2"/>
      </w:numPr>
      <w:tabs>
        <w:tab w:val="left" w:pos="851"/>
      </w:tabs>
      <w:overflowPunct w:val="0"/>
      <w:autoSpaceDE w:val="0"/>
      <w:autoSpaceDN w:val="0"/>
      <w:adjustRightInd w:val="0"/>
      <w:spacing w:before="120" w:after="120" w:line="276" w:lineRule="auto"/>
      <w:jc w:val="both"/>
      <w:outlineLvl w:val="2"/>
    </w:pPr>
    <w:rPr>
      <w:rFonts w:asciiTheme="minorHAnsi" w:hAnsiTheme="minorHAnsi"/>
      <w:b/>
      <w:bCs/>
      <w:noProof/>
      <w:color w:val="2E74B5"/>
      <w:sz w:val="22"/>
      <w:szCs w:val="2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C15A7A"/>
    <w:rPr>
      <w:color w:val="0563C1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C15A7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15A7A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C15A7A"/>
    <w:rPr>
      <w:rFonts w:cs="Times New Roman"/>
      <w:vertAlign w:val="superscript"/>
    </w:rPr>
  </w:style>
  <w:style w:type="table" w:customStyle="1" w:styleId="Mriekatabuky1">
    <w:name w:val="Mriežka tabuľky1"/>
    <w:basedOn w:val="Normlnatabuka"/>
    <w:next w:val="Mriekatabuky"/>
    <w:uiPriority w:val="59"/>
    <w:rsid w:val="00C15A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2">
    <w:name w:val="Char2"/>
    <w:basedOn w:val="Normlny"/>
    <w:link w:val="Odkaznapoznmkupodiarou"/>
    <w:uiPriority w:val="99"/>
    <w:rsid w:val="00C15A7A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table" w:styleId="Mriekatabuky">
    <w:name w:val="Table Grid"/>
    <w:basedOn w:val="Normlnatabuka"/>
    <w:uiPriority w:val="39"/>
    <w:rsid w:val="00C15A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C15A7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15A7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A816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35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3580"/>
    <w:rPr>
      <w:rFonts w:ascii="Tahoma" w:eastAsia="Times New Roman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635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6358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B16BD"/>
    <w:rPr>
      <w:sz w:val="16"/>
      <w:szCs w:val="16"/>
    </w:rPr>
  </w:style>
  <w:style w:type="table" w:customStyle="1" w:styleId="Mriekatabuky2">
    <w:name w:val="Mriežka tabuľky2"/>
    <w:basedOn w:val="Normlnatabuka"/>
    <w:next w:val="Mriekatabuky"/>
    <w:uiPriority w:val="39"/>
    <w:rsid w:val="003B18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Mriekatabuky3">
    <w:name w:val="Mriežka tabuľky3"/>
    <w:basedOn w:val="Normlnatabuka"/>
    <w:next w:val="Mriekatabuky"/>
    <w:uiPriority w:val="39"/>
    <w:rsid w:val="003B18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886D2E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886D2E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886D2E"/>
    <w:rPr>
      <w:vertAlign w:val="superscript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5788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5788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5788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5788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364A76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6A5C08"/>
    <w:pPr>
      <w:spacing w:before="100" w:beforeAutospacing="1" w:after="100" w:afterAutospacing="1"/>
    </w:pPr>
  </w:style>
  <w:style w:type="character" w:customStyle="1" w:styleId="Nadpis3Char">
    <w:name w:val="Nadpis 3 Char"/>
    <w:aliases w:val="3 Char"/>
    <w:basedOn w:val="Predvolenpsmoodseku"/>
    <w:link w:val="Nadpis3"/>
    <w:rsid w:val="00B33A21"/>
    <w:rPr>
      <w:rFonts w:eastAsia="Times New Roman" w:cs="Times New Roman"/>
      <w:b/>
      <w:bCs/>
      <w:noProof/>
      <w:color w:val="2E74B5"/>
      <w:szCs w:val="26"/>
      <w:lang w:eastAsia="cs-CZ"/>
    </w:rPr>
  </w:style>
  <w:style w:type="paragraph" w:customStyle="1" w:styleId="2urove">
    <w:name w:val="2uroveň"/>
    <w:basedOn w:val="Normlny"/>
    <w:autoRedefine/>
    <w:qFormat/>
    <w:rsid w:val="00B33A21"/>
    <w:pPr>
      <w:widowControl w:val="0"/>
      <w:numPr>
        <w:numId w:val="2"/>
      </w:numPr>
      <w:overflowPunct w:val="0"/>
      <w:autoSpaceDE w:val="0"/>
      <w:autoSpaceDN w:val="0"/>
      <w:adjustRightInd w:val="0"/>
      <w:spacing w:before="120" w:after="120" w:line="276" w:lineRule="auto"/>
      <w:outlineLvl w:val="1"/>
    </w:pPr>
    <w:rPr>
      <w:rFonts w:asciiTheme="minorHAnsi" w:eastAsia="Calibri" w:hAnsiTheme="minorHAnsi"/>
      <w:b/>
      <w:iCs/>
      <w:color w:val="806000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8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ghp@employment.gov.sk" TargetMode="External"/><Relationship Id="rId1" Type="http://schemas.openxmlformats.org/officeDocument/2006/relationships/hyperlink" Target="mailto:iveta.novomestska@employment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4B8059-1A90-4AE2-B1CE-C5174F8C75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E02A91-761D-4693-BF2A-90E1CA0E5994}">
  <ds:schemaRefs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D0A72DC-0FBC-4B9C-8342-4DCFDC5DF1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B6D31FB-8026-4644-AB96-1FF398449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6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6281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Róbert Korec</dc:creator>
  <cp:lastModifiedBy>metodika OIMRK</cp:lastModifiedBy>
  <cp:revision>8</cp:revision>
  <cp:lastPrinted>2015-12-23T11:36:00Z</cp:lastPrinted>
  <dcterms:created xsi:type="dcterms:W3CDTF">2020-08-12T11:48:00Z</dcterms:created>
  <dcterms:modified xsi:type="dcterms:W3CDTF">2020-10-15T13:20:00Z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