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95D57" w14:textId="77777777" w:rsidR="000E067D" w:rsidRDefault="000E067D" w:rsidP="00CE09FD">
      <w:pPr>
        <w:pStyle w:val="Default"/>
        <w:spacing w:before="120" w:after="120"/>
        <w:jc w:val="both"/>
        <w:rPr>
          <w:rFonts w:asciiTheme="minorHAnsi" w:hAnsiTheme="minorHAnsi" w:cstheme="minorHAnsi"/>
          <w:bCs/>
          <w:sz w:val="22"/>
          <w:szCs w:val="22"/>
        </w:rPr>
      </w:pPr>
    </w:p>
    <w:p w14:paraId="73FBF1A6" w14:textId="08E35B11" w:rsidR="00CE09FD" w:rsidRPr="006634E4" w:rsidRDefault="00CE09FD" w:rsidP="00CE09FD">
      <w:pPr>
        <w:pStyle w:val="Default"/>
        <w:spacing w:before="120" w:after="120"/>
        <w:jc w:val="both"/>
        <w:rPr>
          <w:rFonts w:asciiTheme="minorHAnsi" w:hAnsiTheme="minorHAnsi" w:cstheme="minorHAnsi"/>
          <w:b/>
          <w:color w:val="auto"/>
          <w:sz w:val="22"/>
          <w:szCs w:val="22"/>
        </w:rPr>
      </w:pPr>
      <w:r w:rsidRPr="006634E4">
        <w:rPr>
          <w:rFonts w:asciiTheme="minorHAnsi" w:hAnsiTheme="minorHAnsi" w:cstheme="minorHAnsi"/>
          <w:bCs/>
          <w:sz w:val="22"/>
          <w:szCs w:val="22"/>
        </w:rPr>
        <w:t>Kód výzvy:</w:t>
      </w:r>
      <w:r w:rsidRPr="00AF3683">
        <w:rPr>
          <w:rFonts w:asciiTheme="minorHAnsi" w:hAnsiTheme="minorHAnsi" w:cstheme="minorHAnsi"/>
          <w:b/>
          <w:sz w:val="22"/>
          <w:szCs w:val="22"/>
        </w:rPr>
        <w:t xml:space="preserve"> </w:t>
      </w:r>
      <w:r w:rsidRPr="006634E4">
        <w:rPr>
          <w:rFonts w:asciiTheme="minorHAnsi" w:hAnsiTheme="minorHAnsi" w:cstheme="minorHAnsi"/>
          <w:b/>
          <w:color w:val="auto"/>
          <w:sz w:val="22"/>
          <w:szCs w:val="22"/>
        </w:rPr>
        <w:t>PSK</w:t>
      </w:r>
      <w:r w:rsidR="00EA6A7E">
        <w:rPr>
          <w:rFonts w:asciiTheme="minorHAnsi" w:hAnsiTheme="minorHAnsi" w:cstheme="minorHAnsi"/>
          <w:b/>
          <w:color w:val="auto"/>
          <w:sz w:val="22"/>
          <w:szCs w:val="22"/>
        </w:rPr>
        <w:t>-</w:t>
      </w:r>
      <w:r w:rsidRPr="006634E4">
        <w:rPr>
          <w:rFonts w:asciiTheme="minorHAnsi" w:hAnsiTheme="minorHAnsi" w:cstheme="minorHAnsi"/>
          <w:b/>
          <w:color w:val="auto"/>
          <w:sz w:val="22"/>
          <w:szCs w:val="22"/>
        </w:rPr>
        <w:t>UV</w:t>
      </w:r>
      <w:r w:rsidR="00EA6A7E">
        <w:rPr>
          <w:rFonts w:asciiTheme="minorHAnsi" w:hAnsiTheme="minorHAnsi" w:cstheme="minorHAnsi"/>
          <w:b/>
          <w:color w:val="auto"/>
          <w:sz w:val="22"/>
          <w:szCs w:val="22"/>
        </w:rPr>
        <w:t>-</w:t>
      </w:r>
      <w:r w:rsidRPr="00EA6A7E">
        <w:rPr>
          <w:rFonts w:asciiTheme="minorHAnsi" w:hAnsiTheme="minorHAnsi" w:cstheme="minorHAnsi"/>
          <w:b/>
          <w:color w:val="auto"/>
          <w:sz w:val="22"/>
          <w:szCs w:val="22"/>
        </w:rPr>
        <w:t>00</w:t>
      </w:r>
      <w:r w:rsidR="004712A9" w:rsidRPr="00EA6A7E">
        <w:rPr>
          <w:rFonts w:asciiTheme="minorHAnsi" w:hAnsiTheme="minorHAnsi" w:cstheme="minorHAnsi"/>
          <w:b/>
          <w:color w:val="auto"/>
          <w:sz w:val="22"/>
          <w:szCs w:val="22"/>
        </w:rPr>
        <w:t>9</w:t>
      </w:r>
      <w:r w:rsidR="00EA6A7E">
        <w:rPr>
          <w:rFonts w:asciiTheme="minorHAnsi" w:hAnsiTheme="minorHAnsi" w:cstheme="minorHAnsi"/>
          <w:b/>
          <w:color w:val="auto"/>
          <w:sz w:val="22"/>
          <w:szCs w:val="22"/>
        </w:rPr>
        <w:t>-</w:t>
      </w:r>
      <w:r w:rsidRPr="004712A9">
        <w:rPr>
          <w:rFonts w:asciiTheme="minorHAnsi" w:hAnsiTheme="minorHAnsi" w:cstheme="minorHAnsi"/>
          <w:b/>
          <w:color w:val="auto"/>
          <w:sz w:val="22"/>
          <w:szCs w:val="22"/>
        </w:rPr>
        <w:t>2</w:t>
      </w:r>
      <w:r w:rsidRPr="006634E4">
        <w:rPr>
          <w:rFonts w:asciiTheme="minorHAnsi" w:hAnsiTheme="minorHAnsi" w:cstheme="minorHAnsi"/>
          <w:b/>
          <w:color w:val="auto"/>
          <w:sz w:val="22"/>
          <w:szCs w:val="22"/>
        </w:rPr>
        <w:t>024</w:t>
      </w:r>
      <w:r w:rsidR="00EA6A7E">
        <w:rPr>
          <w:rFonts w:asciiTheme="minorHAnsi" w:hAnsiTheme="minorHAnsi" w:cstheme="minorHAnsi"/>
          <w:b/>
          <w:color w:val="auto"/>
          <w:sz w:val="22"/>
          <w:szCs w:val="22"/>
        </w:rPr>
        <w:t>-</w:t>
      </w:r>
      <w:r w:rsidRPr="006634E4">
        <w:rPr>
          <w:rFonts w:asciiTheme="minorHAnsi" w:hAnsiTheme="minorHAnsi" w:cstheme="minorHAnsi"/>
          <w:b/>
          <w:color w:val="auto"/>
          <w:sz w:val="22"/>
          <w:szCs w:val="22"/>
        </w:rPr>
        <w:t>DV</w:t>
      </w:r>
      <w:r w:rsidR="00EA6A7E">
        <w:rPr>
          <w:rFonts w:asciiTheme="minorHAnsi" w:hAnsiTheme="minorHAnsi" w:cstheme="minorHAnsi"/>
          <w:b/>
          <w:color w:val="auto"/>
          <w:sz w:val="22"/>
          <w:szCs w:val="22"/>
        </w:rPr>
        <w:t>-</w:t>
      </w:r>
      <w:r w:rsidRPr="006634E4">
        <w:rPr>
          <w:rFonts w:asciiTheme="minorHAnsi" w:hAnsiTheme="minorHAnsi" w:cstheme="minorHAnsi"/>
          <w:b/>
          <w:color w:val="auto"/>
          <w:sz w:val="22"/>
          <w:szCs w:val="22"/>
        </w:rPr>
        <w:t>EFRR</w:t>
      </w:r>
    </w:p>
    <w:p w14:paraId="23725E73" w14:textId="073FE550" w:rsidR="00CE09FD" w:rsidRPr="00364CD0" w:rsidRDefault="00CE09FD" w:rsidP="00032379">
      <w:pPr>
        <w:spacing w:after="0"/>
        <w:ind w:left="1410" w:hanging="1410"/>
        <w:rPr>
          <w:rFonts w:cstheme="minorHAnsi"/>
        </w:rPr>
      </w:pPr>
      <w:r w:rsidRPr="006634E4">
        <w:rPr>
          <w:rFonts w:cstheme="minorHAnsi"/>
          <w:bCs/>
        </w:rPr>
        <w:t>Názov výzvy:</w:t>
      </w:r>
      <w:r w:rsidR="006634E4">
        <w:rPr>
          <w:rFonts w:cstheme="minorHAnsi"/>
          <w:b/>
        </w:rPr>
        <w:t xml:space="preserve"> </w:t>
      </w:r>
      <w:r w:rsidR="003D1CE3" w:rsidRPr="00B273E5">
        <w:rPr>
          <w:rFonts w:cstheme="minorHAnsi"/>
          <w:b/>
        </w:rPr>
        <w:t>Výzva pre zlepšenie podmienok bývania v obciach z Atlasu rómskych komunít</w:t>
      </w:r>
    </w:p>
    <w:p w14:paraId="759E200A" w14:textId="77777777" w:rsidR="00CE09FD" w:rsidRDefault="00CE09FD" w:rsidP="007B563D">
      <w:pPr>
        <w:tabs>
          <w:tab w:val="left" w:pos="5580"/>
        </w:tabs>
        <w:jc w:val="center"/>
        <w:rPr>
          <w:rFonts w:eastAsiaTheme="majorEastAsia" w:cstheme="minorHAnsi"/>
          <w:b/>
          <w:bCs/>
          <w:color w:val="2E74B5" w:themeColor="accent1" w:themeShade="BF"/>
          <w:sz w:val="14"/>
          <w:szCs w:val="32"/>
        </w:rPr>
      </w:pPr>
    </w:p>
    <w:p w14:paraId="397C95AC" w14:textId="77777777" w:rsidR="001D6047" w:rsidRPr="008546B3" w:rsidRDefault="001D6047" w:rsidP="007B563D">
      <w:pPr>
        <w:tabs>
          <w:tab w:val="left" w:pos="5580"/>
        </w:tabs>
        <w:jc w:val="center"/>
        <w:rPr>
          <w:rFonts w:eastAsiaTheme="majorEastAsia" w:cstheme="minorHAnsi"/>
          <w:b/>
          <w:bCs/>
          <w:color w:val="2E74B5" w:themeColor="accent1" w:themeShade="BF"/>
          <w:sz w:val="14"/>
          <w:szCs w:val="32"/>
        </w:rPr>
      </w:pPr>
    </w:p>
    <w:p w14:paraId="4E401DA9" w14:textId="77777777" w:rsidR="00CE09FD" w:rsidRDefault="00CE09FD" w:rsidP="0095533F">
      <w:pPr>
        <w:tabs>
          <w:tab w:val="left" w:pos="5580"/>
        </w:tabs>
        <w:jc w:val="center"/>
        <w:rPr>
          <w:rFonts w:eastAsiaTheme="majorEastAsia" w:cstheme="minorHAnsi"/>
          <w:b/>
          <w:bCs/>
          <w:color w:val="2E74B5" w:themeColor="accent1" w:themeShade="BF"/>
          <w:sz w:val="32"/>
          <w:szCs w:val="32"/>
        </w:rPr>
      </w:pPr>
      <w:r w:rsidRPr="0054336F">
        <w:rPr>
          <w:rFonts w:eastAsiaTheme="majorEastAsia" w:cstheme="minorHAnsi"/>
          <w:b/>
          <w:bCs/>
          <w:color w:val="2E74B5" w:themeColor="accent1" w:themeShade="BF"/>
          <w:sz w:val="32"/>
          <w:szCs w:val="32"/>
        </w:rPr>
        <w:t>Oprávnenosť výdavkov</w:t>
      </w:r>
    </w:p>
    <w:p w14:paraId="0CBECA51" w14:textId="77777777" w:rsidR="00CE09FD" w:rsidRPr="008146B2" w:rsidRDefault="00CE09FD" w:rsidP="00CE09FD">
      <w:pPr>
        <w:jc w:val="both"/>
        <w:rPr>
          <w:rFonts w:eastAsiaTheme="majorEastAsia" w:cstheme="minorHAnsi"/>
          <w:b/>
          <w:bCs/>
          <w:color w:val="2E74B5" w:themeColor="accent1" w:themeShade="BF"/>
          <w:sz w:val="28"/>
          <w:szCs w:val="28"/>
        </w:rPr>
      </w:pPr>
      <w:r w:rsidRPr="008146B2">
        <w:rPr>
          <w:rFonts w:eastAsiaTheme="majorEastAsia" w:cstheme="minorHAnsi"/>
          <w:b/>
          <w:bCs/>
          <w:color w:val="2E74B5" w:themeColor="accent1" w:themeShade="BF"/>
          <w:sz w:val="28"/>
          <w:szCs w:val="28"/>
        </w:rPr>
        <w:t>1. Riadiaca dokumentácia k oprávnenosti výdavkov</w:t>
      </w:r>
    </w:p>
    <w:p w14:paraId="0E644AD0" w14:textId="77777777" w:rsidR="00CE09FD" w:rsidRPr="008146B2" w:rsidRDefault="00CE09FD" w:rsidP="00CE09FD">
      <w:pPr>
        <w:jc w:val="both"/>
        <w:rPr>
          <w:rFonts w:eastAsiaTheme="majorEastAsia" w:cstheme="minorHAnsi"/>
        </w:rPr>
      </w:pPr>
      <w:r w:rsidRPr="008146B2">
        <w:rPr>
          <w:rFonts w:eastAsiaTheme="majorEastAsia" w:cstheme="minorHAnsi"/>
        </w:rPr>
        <w:t>Žiadateľ/prijímateľ je povinný riadiť sa pravidlami oprávnenosti výdavkov stanovenými v legislatíve EÚ a SR a riadiacej dokumentácii Programu Slovensko 2021 - 2027 (ďalej len „P SK“) pre programové obdobie 2021 - 2027.</w:t>
      </w:r>
    </w:p>
    <w:p w14:paraId="3896C8AF" w14:textId="77777777" w:rsidR="00CE09FD" w:rsidRPr="0054336F" w:rsidRDefault="00CE09FD" w:rsidP="00CE09FD">
      <w:pPr>
        <w:jc w:val="both"/>
        <w:rPr>
          <w:rStyle w:val="Hypertextovprepojenie"/>
          <w:rFonts w:cstheme="minorHAnsi"/>
        </w:rPr>
      </w:pPr>
      <w:r w:rsidRPr="008146B2">
        <w:rPr>
          <w:rFonts w:eastAsiaTheme="majorEastAsia" w:cstheme="minorHAnsi"/>
        </w:rPr>
        <w:t>Všeobecné podmienky oprávnenosti výdavkov a základné informácie k zjednodušenému vykazovaniu výdavkov (ďalej aj „ZVV“) sú definované v aktuálne platnej verzii dokumentu</w:t>
      </w:r>
      <w:r w:rsidRPr="008146B2">
        <w:rPr>
          <w:rFonts w:eastAsiaTheme="majorEastAsia" w:cstheme="minorHAnsi"/>
          <w:b/>
          <w:bCs/>
        </w:rPr>
        <w:t xml:space="preserve"> </w:t>
      </w:r>
      <w:hyperlink r:id="rId11" w:history="1">
        <w:r w:rsidRPr="008146B2">
          <w:rPr>
            <w:rStyle w:val="Hypertextovprepojenie"/>
            <w:rFonts w:eastAsiaTheme="majorEastAsia" w:cstheme="minorHAnsi"/>
            <w:b/>
            <w:bCs/>
          </w:rPr>
          <w:t>Rámec implementácie fondov.</w:t>
        </w:r>
      </w:hyperlink>
    </w:p>
    <w:p w14:paraId="0B9DA11E" w14:textId="77777777" w:rsidR="00CE09FD" w:rsidRPr="008146B2" w:rsidRDefault="00CE09FD" w:rsidP="00CE09FD">
      <w:pPr>
        <w:jc w:val="both"/>
        <w:rPr>
          <w:rFonts w:eastAsiaTheme="majorEastAsia" w:cstheme="minorHAnsi"/>
        </w:rPr>
      </w:pPr>
      <w:r w:rsidRPr="008146B2">
        <w:rPr>
          <w:rFonts w:eastAsiaTheme="majorEastAsia" w:cstheme="minorHAnsi"/>
        </w:rPr>
        <w:t>Základné a jednotné pravidlá oprávnenosti pre najčastejšie sa vyskytujúce skupiny výdavkov, pravidlá dokladovania oprávnených výdavkov, základné pravidlá pre ZVV a overovanie hospodárnosti výdavkov sú definované v aktuálne platnej verzii dokumentu</w:t>
      </w:r>
      <w:r w:rsidRPr="008146B2">
        <w:rPr>
          <w:rFonts w:eastAsiaTheme="majorEastAsia" w:cstheme="minorHAnsi"/>
          <w:b/>
          <w:bCs/>
        </w:rPr>
        <w:t xml:space="preserve"> </w:t>
      </w:r>
      <w:hyperlink r:id="rId12" w:history="1">
        <w:r w:rsidRPr="008146B2">
          <w:rPr>
            <w:rStyle w:val="Hypertextovprepojenie"/>
            <w:rFonts w:eastAsiaTheme="majorEastAsia" w:cstheme="minorHAnsi"/>
            <w:b/>
            <w:bCs/>
          </w:rPr>
          <w:t>Príručka k oprávnenosti výdavkov</w:t>
        </w:r>
      </w:hyperlink>
      <w:r w:rsidRPr="008146B2">
        <w:rPr>
          <w:rFonts w:eastAsiaTheme="majorEastAsia" w:cstheme="minorHAnsi"/>
          <w:b/>
          <w:bCs/>
        </w:rPr>
        <w:t xml:space="preserve"> </w:t>
      </w:r>
      <w:r w:rsidRPr="008146B2">
        <w:rPr>
          <w:rFonts w:eastAsiaTheme="majorEastAsia" w:cstheme="minorHAnsi"/>
        </w:rPr>
        <w:t>(ďalej len „Príručka k OV“). Súčasťou Príručky k OV sú aj jej prílohy definujúce kategórie nepriamych výdavkov, číselník skupín výdavkov a postupy overovania hospodárnosti výdavkov.</w:t>
      </w:r>
    </w:p>
    <w:p w14:paraId="393AB093" w14:textId="77777777" w:rsidR="00CE09FD" w:rsidRPr="008146B2" w:rsidRDefault="00CE09FD" w:rsidP="00CE09FD">
      <w:pPr>
        <w:jc w:val="both"/>
        <w:rPr>
          <w:rFonts w:eastAsiaTheme="majorEastAsia" w:cstheme="minorHAnsi"/>
        </w:rPr>
      </w:pPr>
      <w:r w:rsidRPr="008146B2">
        <w:rPr>
          <w:rFonts w:eastAsiaTheme="majorEastAsia" w:cstheme="minorHAnsi"/>
        </w:rPr>
        <w:t>Okrem pravidiel stanovených v menovaných dokumentoch platia pre túto výzvu pravidlá oprávnenosti výdavkov vymedzené v tejto prílohe výzvy.</w:t>
      </w:r>
    </w:p>
    <w:p w14:paraId="3568BD80" w14:textId="77777777" w:rsidR="00CE09FD" w:rsidRPr="008146B2" w:rsidRDefault="00CE09FD" w:rsidP="00CE09FD">
      <w:pPr>
        <w:rPr>
          <w:rFonts w:eastAsiaTheme="majorEastAsia" w:cstheme="minorHAnsi"/>
          <w:b/>
          <w:bCs/>
          <w:color w:val="2E74B5" w:themeColor="accent1" w:themeShade="BF"/>
          <w:sz w:val="28"/>
          <w:szCs w:val="28"/>
        </w:rPr>
      </w:pPr>
      <w:r w:rsidRPr="008146B2">
        <w:rPr>
          <w:rFonts w:eastAsiaTheme="majorEastAsia" w:cstheme="minorHAnsi"/>
          <w:b/>
          <w:bCs/>
          <w:color w:val="2E74B5" w:themeColor="accent1" w:themeShade="BF"/>
          <w:sz w:val="28"/>
          <w:szCs w:val="28"/>
        </w:rPr>
        <w:t>2.</w:t>
      </w:r>
      <w:r>
        <w:rPr>
          <w:rFonts w:eastAsiaTheme="majorEastAsia" w:cstheme="minorHAnsi"/>
          <w:b/>
          <w:bCs/>
          <w:color w:val="2E74B5" w:themeColor="accent1" w:themeShade="BF"/>
          <w:sz w:val="28"/>
          <w:szCs w:val="28"/>
        </w:rPr>
        <w:t xml:space="preserve"> </w:t>
      </w:r>
      <w:r w:rsidRPr="008146B2">
        <w:rPr>
          <w:rFonts w:eastAsiaTheme="majorEastAsia" w:cstheme="minorHAnsi"/>
          <w:b/>
          <w:bCs/>
          <w:color w:val="2E74B5" w:themeColor="accent1" w:themeShade="BF"/>
          <w:sz w:val="28"/>
          <w:szCs w:val="28"/>
        </w:rPr>
        <w:t>Členenie a vykazovanie výdavkov</w:t>
      </w:r>
    </w:p>
    <w:p w14:paraId="0E3AABB9" w14:textId="77777777" w:rsidR="00CE09FD" w:rsidRPr="0054336F" w:rsidRDefault="00CE09FD" w:rsidP="00CE09FD">
      <w:pPr>
        <w:jc w:val="both"/>
        <w:rPr>
          <w:rFonts w:eastAsiaTheme="majorEastAsia" w:cstheme="minorHAnsi"/>
          <w:b/>
          <w:bCs/>
          <w:color w:val="2E74B5" w:themeColor="accent1" w:themeShade="BF"/>
          <w:sz w:val="24"/>
          <w:szCs w:val="24"/>
        </w:rPr>
      </w:pPr>
      <w:r w:rsidRPr="0054336F">
        <w:rPr>
          <w:rFonts w:eastAsiaTheme="majorEastAsia" w:cstheme="minorHAnsi"/>
          <w:b/>
          <w:bCs/>
          <w:color w:val="2E74B5" w:themeColor="accent1" w:themeShade="BF"/>
          <w:sz w:val="24"/>
          <w:szCs w:val="24"/>
        </w:rPr>
        <w:t>Členenie výdavkov</w:t>
      </w:r>
    </w:p>
    <w:p w14:paraId="4F9B3ABD" w14:textId="2F988E5B" w:rsidR="0095533F" w:rsidRPr="008146B2" w:rsidRDefault="0095533F" w:rsidP="0095533F">
      <w:pPr>
        <w:jc w:val="both"/>
        <w:rPr>
          <w:rFonts w:eastAsiaTheme="majorEastAsia" w:cstheme="minorHAnsi"/>
        </w:rPr>
      </w:pPr>
      <w:r w:rsidRPr="008146B2">
        <w:rPr>
          <w:rFonts w:eastAsiaTheme="majorEastAsia" w:cstheme="minorHAnsi"/>
        </w:rPr>
        <w:t xml:space="preserve">V rámci tejto výzvy sa oprávnené výdavky členia na </w:t>
      </w:r>
      <w:r w:rsidRPr="008146B2">
        <w:rPr>
          <w:rFonts w:eastAsiaTheme="majorEastAsia" w:cstheme="minorHAnsi"/>
          <w:u w:val="single"/>
        </w:rPr>
        <w:t>priame a nepriame výdavky</w:t>
      </w:r>
      <w:r w:rsidRPr="008146B2">
        <w:rPr>
          <w:rFonts w:eastAsiaTheme="majorEastAsia" w:cstheme="minorHAnsi"/>
        </w:rPr>
        <w:t xml:space="preserve">. Platí pritom, že všetky nižšie uvedené typy oprávnených výdavkov sa členia medzi </w:t>
      </w:r>
      <w:r w:rsidRPr="008146B2">
        <w:rPr>
          <w:rFonts w:eastAsiaTheme="majorEastAsia" w:cstheme="minorHAnsi"/>
          <w:u w:val="single"/>
        </w:rPr>
        <w:t>priame výdavky</w:t>
      </w:r>
      <w:r w:rsidRPr="008146B2">
        <w:rPr>
          <w:rFonts w:eastAsiaTheme="majorEastAsia" w:cstheme="minorHAnsi"/>
        </w:rPr>
        <w:t xml:space="preserve"> </w:t>
      </w:r>
      <w:r w:rsidRPr="008146B2">
        <w:rPr>
          <w:rFonts w:eastAsiaTheme="majorEastAsia" w:cstheme="minorHAnsi"/>
          <w:b/>
          <w:bCs/>
        </w:rPr>
        <w:t>okrem tých</w:t>
      </w:r>
      <w:r w:rsidRPr="008146B2">
        <w:rPr>
          <w:rFonts w:eastAsiaTheme="majorEastAsia" w:cstheme="minorHAnsi"/>
        </w:rPr>
        <w:t xml:space="preserve">, ktoré sa zaraďujú do skupiny výdavkov 907 - Paušálna sadzba na nepriame výdavky podľa článku 54 písm. a) Nariadenia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8146B2">
        <w:rPr>
          <w:rFonts w:eastAsiaTheme="majorEastAsia" w:cstheme="minorHAnsi"/>
        </w:rPr>
        <w:t>akvakultúrnom</w:t>
      </w:r>
      <w:proofErr w:type="spellEnd"/>
      <w:r w:rsidRPr="008146B2">
        <w:rPr>
          <w:rFonts w:eastAsiaTheme="majorEastAsia" w:cstheme="minorHAnsi"/>
        </w:rPr>
        <w:t xml:space="preserve"> fonde a rozpočtové pravidlá pre uvedené fondy, ako aj pre Fond pre azyl, migráciu a integráciu, Fond pre vnútornú bezpečnosť a Nástroj finančnej podpory na riadenie hraníc a vízovú politiku v platnom znení (ďalej len „NSU“) a členia sa medzi nepriame výdavky. Príslušné členenie oprávnených výdavkov sa uvádza aj v Podrobnom rozpočte projektu (súčasť prílohy č. </w:t>
      </w:r>
      <w:r w:rsidR="00E81BBD">
        <w:rPr>
          <w:rFonts w:eastAsiaTheme="majorEastAsia" w:cstheme="minorHAnsi"/>
        </w:rPr>
        <w:t>2</w:t>
      </w:r>
      <w:r w:rsidRPr="008146B2">
        <w:rPr>
          <w:rFonts w:eastAsiaTheme="majorEastAsia" w:cstheme="minorHAnsi"/>
        </w:rPr>
        <w:t xml:space="preserve"> ŽoNFP</w:t>
      </w:r>
      <w:r>
        <w:rPr>
          <w:rFonts w:eastAsiaTheme="majorEastAsia" w:cstheme="minorHAnsi"/>
        </w:rPr>
        <w:t>).</w:t>
      </w:r>
    </w:p>
    <w:p w14:paraId="0B1EFF63" w14:textId="77777777" w:rsidR="00CE09FD" w:rsidRPr="0054336F" w:rsidRDefault="00CE09FD" w:rsidP="00CE09FD">
      <w:pPr>
        <w:jc w:val="both"/>
        <w:rPr>
          <w:rFonts w:eastAsiaTheme="majorEastAsia" w:cstheme="minorHAnsi"/>
          <w:b/>
          <w:bCs/>
          <w:color w:val="2E74B5" w:themeColor="accent1" w:themeShade="BF"/>
          <w:sz w:val="24"/>
          <w:szCs w:val="24"/>
        </w:rPr>
      </w:pPr>
      <w:r w:rsidRPr="0054336F">
        <w:rPr>
          <w:rFonts w:eastAsiaTheme="majorEastAsia" w:cstheme="minorHAnsi"/>
          <w:b/>
          <w:bCs/>
          <w:color w:val="2E74B5" w:themeColor="accent1" w:themeShade="BF"/>
          <w:sz w:val="24"/>
          <w:szCs w:val="24"/>
        </w:rPr>
        <w:t>Vykazovanie výdavkov</w:t>
      </w:r>
    </w:p>
    <w:p w14:paraId="00EB666E" w14:textId="0A9A07A9" w:rsidR="0095533F" w:rsidRPr="008146B2" w:rsidRDefault="0095533F" w:rsidP="0095533F">
      <w:pPr>
        <w:jc w:val="both"/>
        <w:rPr>
          <w:rFonts w:eastAsiaTheme="majorEastAsia" w:cstheme="minorHAnsi"/>
        </w:rPr>
      </w:pPr>
      <w:r w:rsidRPr="008146B2">
        <w:rPr>
          <w:rFonts w:eastAsiaTheme="majorEastAsia" w:cstheme="minorHAnsi"/>
        </w:rPr>
        <w:t xml:space="preserve">V tejto výzve sa aplikuje </w:t>
      </w:r>
      <w:r w:rsidRPr="008146B2">
        <w:rPr>
          <w:rFonts w:eastAsiaTheme="majorEastAsia" w:cstheme="minorHAnsi"/>
          <w:b/>
          <w:bCs/>
        </w:rPr>
        <w:t>reálne vykazovanie priamych výdavkov a zjednodušené vykazovanie nepriamych výdavkov</w:t>
      </w:r>
      <w:r w:rsidRPr="008146B2">
        <w:rPr>
          <w:rFonts w:eastAsiaTheme="majorEastAsia" w:cstheme="minorHAnsi"/>
        </w:rPr>
        <w:t xml:space="preserve"> formou </w:t>
      </w:r>
      <w:r w:rsidRPr="008146B2">
        <w:rPr>
          <w:rFonts w:eastAsiaTheme="majorEastAsia" w:cstheme="minorHAnsi"/>
          <w:b/>
          <w:bCs/>
        </w:rPr>
        <w:t>paušálnej sadzby</w:t>
      </w:r>
      <w:r w:rsidRPr="008146B2">
        <w:rPr>
          <w:rFonts w:eastAsiaTheme="majorEastAsia" w:cstheme="minorHAnsi"/>
        </w:rPr>
        <w:t xml:space="preserve"> (ďalej aj „PS“) </w:t>
      </w:r>
      <w:r w:rsidRPr="008146B2">
        <w:rPr>
          <w:rFonts w:eastAsiaTheme="majorEastAsia" w:cstheme="minorHAnsi"/>
          <w:b/>
          <w:bCs/>
        </w:rPr>
        <w:t>na nepriame výdavky</w:t>
      </w:r>
      <w:r w:rsidRPr="008146B2">
        <w:rPr>
          <w:rFonts w:eastAsiaTheme="majorEastAsia" w:cstheme="minorHAnsi"/>
        </w:rPr>
        <w:t xml:space="preserve"> podľa čl. 54 písm.</w:t>
      </w:r>
      <w:r w:rsidR="008C2F5E">
        <w:rPr>
          <w:rFonts w:eastAsiaTheme="majorEastAsia" w:cstheme="minorHAnsi"/>
        </w:rPr>
        <w:t> </w:t>
      </w:r>
      <w:r w:rsidRPr="008146B2">
        <w:rPr>
          <w:rFonts w:eastAsiaTheme="majorEastAsia" w:cstheme="minorHAnsi"/>
        </w:rPr>
        <w:t>a) NSU.</w:t>
      </w:r>
    </w:p>
    <w:p w14:paraId="61C545D4" w14:textId="77777777" w:rsidR="0095533F" w:rsidRPr="008146B2" w:rsidRDefault="0095533F" w:rsidP="0095533F">
      <w:pPr>
        <w:jc w:val="both"/>
        <w:rPr>
          <w:rFonts w:eastAsiaTheme="majorEastAsia" w:cstheme="minorHAnsi"/>
        </w:rPr>
      </w:pPr>
      <w:r w:rsidRPr="008146B2">
        <w:rPr>
          <w:rFonts w:eastAsiaTheme="majorEastAsia" w:cstheme="minorHAnsi"/>
        </w:rPr>
        <w:t xml:space="preserve">Žiadateľ je </w:t>
      </w:r>
      <w:r w:rsidRPr="008146B2">
        <w:rPr>
          <w:rFonts w:eastAsiaTheme="majorEastAsia" w:cstheme="minorHAnsi"/>
          <w:u w:val="single"/>
        </w:rPr>
        <w:t>povinný aplikovať</w:t>
      </w:r>
      <w:r w:rsidRPr="008146B2">
        <w:rPr>
          <w:rFonts w:eastAsiaTheme="majorEastAsia" w:cstheme="minorHAnsi"/>
        </w:rPr>
        <w:t xml:space="preserve"> uvedenú PS v predkladanej žiadosti o poskytnutie nenávratného finančného príspevku (ďalej len „ŽoNFP“), vrátane </w:t>
      </w:r>
      <w:r w:rsidRPr="008146B2">
        <w:rPr>
          <w:rFonts w:eastAsiaTheme="majorEastAsia" w:cstheme="minorHAnsi"/>
          <w:i/>
          <w:iCs/>
        </w:rPr>
        <w:t>Podrobného rozpočtu projektu</w:t>
      </w:r>
      <w:r w:rsidRPr="008146B2">
        <w:rPr>
          <w:rFonts w:eastAsiaTheme="majorEastAsia" w:cstheme="minorHAnsi"/>
        </w:rPr>
        <w:t>.</w:t>
      </w:r>
    </w:p>
    <w:p w14:paraId="6814B4E0" w14:textId="7A986383" w:rsidR="0095533F" w:rsidRPr="008146B2" w:rsidRDefault="0095533F" w:rsidP="0095533F">
      <w:pPr>
        <w:jc w:val="both"/>
        <w:rPr>
          <w:rFonts w:eastAsiaTheme="majorEastAsia" w:cstheme="minorHAnsi"/>
        </w:rPr>
      </w:pPr>
      <w:r w:rsidRPr="008146B2">
        <w:rPr>
          <w:rFonts w:eastAsiaTheme="majorEastAsia" w:cstheme="minorHAnsi"/>
          <w:b/>
          <w:bCs/>
        </w:rPr>
        <w:lastRenderedPageBreak/>
        <w:t xml:space="preserve">PS na nepriame výdavky je vo výzve stanovená vo výške </w:t>
      </w:r>
      <w:r w:rsidR="00F71194">
        <w:rPr>
          <w:rFonts w:eastAsiaTheme="majorEastAsia" w:cstheme="minorHAnsi"/>
          <w:b/>
          <w:bCs/>
        </w:rPr>
        <w:t>2</w:t>
      </w:r>
      <w:r w:rsidRPr="008146B2">
        <w:rPr>
          <w:rFonts w:eastAsiaTheme="majorEastAsia" w:cstheme="minorHAnsi"/>
          <w:b/>
          <w:bCs/>
        </w:rPr>
        <w:t xml:space="preserve"> až 7 % oprávnených priamych výdavkov.</w:t>
      </w:r>
      <w:r w:rsidRPr="008146B2">
        <w:rPr>
          <w:rFonts w:eastAsiaTheme="majorEastAsia" w:cstheme="minorHAnsi"/>
        </w:rPr>
        <w:t xml:space="preserve"> Nepriame výdavky projektu teda nesmú prekročiť 7 % celkových oprávnených priamych výdavkov projektu</w:t>
      </w:r>
      <w:r>
        <w:rPr>
          <w:rFonts w:eastAsiaTheme="majorEastAsia" w:cstheme="minorHAnsi"/>
        </w:rPr>
        <w:t xml:space="preserve">, </w:t>
      </w:r>
      <w:r w:rsidRPr="00715F88">
        <w:rPr>
          <w:rFonts w:eastAsiaTheme="majorEastAsia" w:cstheme="minorHAnsi"/>
        </w:rPr>
        <w:t>v zmysle Tabuľky č. 1 - Stanovenie výšky paušálnej sadzby na nepriame výdavky v závislosti od výšky priamych výdavkov.</w:t>
      </w:r>
    </w:p>
    <w:p w14:paraId="7D6BD907" w14:textId="77777777" w:rsidR="0095533F" w:rsidRPr="008146B2" w:rsidRDefault="0095533F" w:rsidP="0095533F">
      <w:pPr>
        <w:jc w:val="both"/>
        <w:rPr>
          <w:rFonts w:eastAsiaTheme="majorEastAsia" w:cstheme="minorHAnsi"/>
        </w:rPr>
      </w:pPr>
      <w:r w:rsidRPr="008146B2">
        <w:rPr>
          <w:rFonts w:eastAsiaTheme="majorEastAsia" w:cstheme="minorHAnsi"/>
        </w:rPr>
        <w:t xml:space="preserve">Výdavky zahrnuté v PS na nepriame výdavky </w:t>
      </w:r>
      <w:r w:rsidRPr="008146B2">
        <w:rPr>
          <w:rFonts w:eastAsiaTheme="majorEastAsia" w:cstheme="minorHAnsi"/>
          <w:u w:val="single"/>
        </w:rPr>
        <w:t>nemôžu</w:t>
      </w:r>
      <w:r w:rsidRPr="008146B2">
        <w:rPr>
          <w:rFonts w:eastAsiaTheme="majorEastAsia" w:cstheme="minorHAnsi"/>
        </w:rPr>
        <w:t xml:space="preserve"> byť zároveň vykazované ako priame výdavky. Dvojité deklarovanie výdavkov (t. j. deklarovanie tých istých výdavkov v rámci nepriamych a zároveň v rámci priamych výdavkov) povedie ku kráteniu deklarovaných výdavkov a vzniku neoprávnených výdavkov.</w:t>
      </w:r>
    </w:p>
    <w:p w14:paraId="2D71D1B6" w14:textId="77777777" w:rsidR="0095533F" w:rsidRPr="008146B2" w:rsidRDefault="0095533F" w:rsidP="0095533F">
      <w:pPr>
        <w:jc w:val="both"/>
        <w:rPr>
          <w:rFonts w:eastAsiaTheme="majorEastAsia" w:cstheme="minorHAnsi"/>
        </w:rPr>
      </w:pPr>
      <w:r w:rsidRPr="008146B2">
        <w:rPr>
          <w:rFonts w:eastAsiaTheme="majorEastAsia" w:cstheme="minorHAnsi"/>
        </w:rPr>
        <w:t xml:space="preserve">Všetky priame výdavky projektu, ktoré </w:t>
      </w:r>
      <w:r w:rsidRPr="008146B2">
        <w:rPr>
          <w:rFonts w:eastAsiaTheme="majorEastAsia" w:cstheme="minorHAnsi"/>
          <w:u w:val="single"/>
        </w:rPr>
        <w:t>nespadajú</w:t>
      </w:r>
      <w:r w:rsidRPr="008146B2">
        <w:rPr>
          <w:rFonts w:eastAsiaTheme="majorEastAsia" w:cstheme="minorHAnsi"/>
        </w:rPr>
        <w:t xml:space="preserve"> pod ZVV (nezaraďujú sa do skupiny výdavkov 907), budú reálne vykázané, t. j. preukázané faktúrami alebo inými účtovnými dokladmi/podkladmi rovnocennej preukaznej hodnoty.</w:t>
      </w:r>
    </w:p>
    <w:p w14:paraId="028709D0" w14:textId="6317B03B" w:rsidR="0095533F" w:rsidRDefault="0095533F" w:rsidP="0095533F">
      <w:pPr>
        <w:jc w:val="both"/>
        <w:rPr>
          <w:rFonts w:eastAsiaTheme="majorEastAsia" w:cstheme="minorHAnsi"/>
        </w:rPr>
      </w:pPr>
      <w:r w:rsidRPr="008146B2">
        <w:rPr>
          <w:rFonts w:eastAsiaTheme="majorEastAsia" w:cstheme="minorHAnsi"/>
        </w:rPr>
        <w:t xml:space="preserve">Aplikácia vyššie uvedeného ZVV v praxi znamená, že </w:t>
      </w:r>
      <w:r w:rsidRPr="008146B2">
        <w:rPr>
          <w:rFonts w:eastAsiaTheme="majorEastAsia" w:cstheme="minorHAnsi"/>
          <w:u w:val="single"/>
        </w:rPr>
        <w:t>na reálne vykázané</w:t>
      </w:r>
      <w:r w:rsidRPr="008146B2">
        <w:rPr>
          <w:rFonts w:eastAsiaTheme="majorEastAsia" w:cstheme="minorHAnsi"/>
        </w:rPr>
        <w:t xml:space="preserve"> priame výdavky projektu sa aplikuje </w:t>
      </w:r>
      <w:r>
        <w:rPr>
          <w:rFonts w:eastAsiaTheme="majorEastAsia" w:cstheme="minorHAnsi"/>
        </w:rPr>
        <w:t xml:space="preserve">PS v rozmedzí </w:t>
      </w:r>
      <w:r w:rsidR="00E82C99">
        <w:rPr>
          <w:rFonts w:eastAsiaTheme="majorEastAsia" w:cstheme="minorHAnsi"/>
          <w:b/>
          <w:bCs/>
        </w:rPr>
        <w:t>2</w:t>
      </w:r>
      <w:r w:rsidRPr="008146B2">
        <w:rPr>
          <w:rFonts w:eastAsiaTheme="majorEastAsia" w:cstheme="minorHAnsi"/>
          <w:b/>
          <w:bCs/>
        </w:rPr>
        <w:t xml:space="preserve"> až 7 % na nepriame výdavky</w:t>
      </w:r>
      <w:r w:rsidRPr="008146B2">
        <w:rPr>
          <w:rFonts w:eastAsiaTheme="majorEastAsia" w:cstheme="minorHAnsi"/>
        </w:rPr>
        <w:t>, ktoré prijímateľ nepreukazuje a poskytovateľ neoveruje.</w:t>
      </w:r>
      <w:r>
        <w:rPr>
          <w:rFonts w:eastAsiaTheme="majorEastAsia" w:cstheme="minorHAnsi"/>
        </w:rPr>
        <w:t xml:space="preserve"> </w:t>
      </w:r>
    </w:p>
    <w:p w14:paraId="51333FF4" w14:textId="77777777" w:rsidR="00E82C99" w:rsidRPr="008146B2" w:rsidRDefault="00E82C99" w:rsidP="00E82C99">
      <w:pPr>
        <w:jc w:val="both"/>
        <w:rPr>
          <w:rFonts w:eastAsiaTheme="majorEastAsia" w:cstheme="minorHAnsi"/>
        </w:rPr>
      </w:pPr>
      <w:r w:rsidRPr="008146B2">
        <w:rPr>
          <w:rFonts w:eastAsiaTheme="majorEastAsia" w:cstheme="minorHAnsi"/>
        </w:rPr>
        <w:t>Žiadateľovi je umožnené uplatniť paušálnu sadzbu na nepriame výdavky  podľa článku 54 písm. a) NSU a to vo výške 2 až 7 % podľa výšky oprávnených priamych nákladov v zmysle Tabuľky č. 1 - Stanovenie výšky paušálnej sadzby na nepriame výdavky v závislosti od výšky priamych výdavkov. Maximálnu výšku stanoveného % nie je možné zmeniť. Schválenú výšku prepočítanú na EUR nie je možné dodatočne navýšiť.</w:t>
      </w:r>
    </w:p>
    <w:p w14:paraId="0459D2E0" w14:textId="161E8C9A" w:rsidR="0095533F" w:rsidRPr="008146B2" w:rsidRDefault="0095533F" w:rsidP="0095533F">
      <w:pPr>
        <w:jc w:val="both"/>
        <w:rPr>
          <w:rFonts w:eastAsiaTheme="majorEastAsia" w:cstheme="minorHAnsi"/>
        </w:rPr>
      </w:pPr>
      <w:r w:rsidRPr="008146B2">
        <w:rPr>
          <w:rFonts w:eastAsiaTheme="majorEastAsia" w:cstheme="minorHAnsi"/>
        </w:rPr>
        <w:t>Žiadateľ môže prostriedky, na ktoré mu v rámci uplatnenia PS vznikne nárok použiť na úhradu nepriamych výdavkov súvisiacich s projektom.</w:t>
      </w:r>
    </w:p>
    <w:p w14:paraId="04FB9885" w14:textId="77777777" w:rsidR="0095533F" w:rsidRPr="00352066" w:rsidRDefault="0095533F" w:rsidP="008546B3">
      <w:pPr>
        <w:pStyle w:val="Popis"/>
        <w:keepNext/>
        <w:spacing w:after="0"/>
        <w:rPr>
          <w:rFonts w:cstheme="minorHAnsi"/>
          <w:sz w:val="20"/>
          <w:szCs w:val="20"/>
        </w:rPr>
      </w:pPr>
      <w:r w:rsidRPr="008146B2">
        <w:rPr>
          <w:rFonts w:cstheme="minorHAnsi"/>
          <w:sz w:val="20"/>
          <w:szCs w:val="20"/>
        </w:rPr>
        <w:t xml:space="preserve">Tabuľka </w:t>
      </w:r>
      <w:r w:rsidRPr="00352066">
        <w:rPr>
          <w:rFonts w:cstheme="minorHAnsi"/>
          <w:sz w:val="20"/>
          <w:szCs w:val="20"/>
        </w:rPr>
        <w:fldChar w:fldCharType="begin"/>
      </w:r>
      <w:r w:rsidRPr="008146B2">
        <w:rPr>
          <w:rFonts w:cstheme="minorHAnsi"/>
          <w:sz w:val="20"/>
          <w:szCs w:val="20"/>
        </w:rPr>
        <w:instrText xml:space="preserve"> SEQ Tabuľka \* ARABIC </w:instrText>
      </w:r>
      <w:r w:rsidRPr="00352066">
        <w:rPr>
          <w:rFonts w:cstheme="minorHAnsi"/>
          <w:sz w:val="20"/>
          <w:szCs w:val="20"/>
        </w:rPr>
        <w:fldChar w:fldCharType="separate"/>
      </w:r>
      <w:r>
        <w:rPr>
          <w:rFonts w:cstheme="minorHAnsi"/>
          <w:noProof/>
          <w:sz w:val="20"/>
          <w:szCs w:val="20"/>
        </w:rPr>
        <w:t>1</w:t>
      </w:r>
      <w:r w:rsidRPr="00352066">
        <w:rPr>
          <w:rFonts w:cstheme="minorHAnsi"/>
          <w:sz w:val="20"/>
          <w:szCs w:val="20"/>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hemeFill="accent1" w:themeFillTint="66"/>
        <w:tblCellMar>
          <w:left w:w="70" w:type="dxa"/>
          <w:right w:w="70" w:type="dxa"/>
        </w:tblCellMar>
        <w:tblLook w:val="04A0" w:firstRow="1" w:lastRow="0" w:firstColumn="1" w:lastColumn="0" w:noHBand="0" w:noVBand="1"/>
      </w:tblPr>
      <w:tblGrid>
        <w:gridCol w:w="1534"/>
        <w:gridCol w:w="2732"/>
        <w:gridCol w:w="2732"/>
        <w:gridCol w:w="2062"/>
      </w:tblGrid>
      <w:tr w:rsidR="0095533F" w:rsidRPr="0054336F" w14:paraId="012BEF8A" w14:textId="77777777" w:rsidTr="000A0B9B">
        <w:trPr>
          <w:trHeight w:val="828"/>
        </w:trPr>
        <w:tc>
          <w:tcPr>
            <w:tcW w:w="846" w:type="pct"/>
            <w:vMerge w:val="restart"/>
            <w:shd w:val="clear" w:color="auto" w:fill="BDD6EE" w:themeFill="accent1" w:themeFillTint="66"/>
            <w:vAlign w:val="center"/>
          </w:tcPr>
          <w:p w14:paraId="4316E22F"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r w:rsidRPr="0054336F">
              <w:rPr>
                <w:rFonts w:eastAsia="Times New Roman" w:cstheme="minorHAnsi"/>
                <w:b/>
                <w:bCs/>
                <w:kern w:val="0"/>
                <w:lang w:eastAsia="sk-SK"/>
                <w14:ligatures w14:val="none"/>
              </w:rPr>
              <w:t xml:space="preserve">Nepriame výdavky </w:t>
            </w:r>
          </w:p>
          <w:p w14:paraId="5FF003EF"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r w:rsidRPr="0054336F">
              <w:rPr>
                <w:rFonts w:eastAsia="Times New Roman" w:cstheme="minorHAnsi"/>
                <w:b/>
                <w:bCs/>
                <w:kern w:val="0"/>
                <w:lang w:eastAsia="sk-SK"/>
                <w14:ligatures w14:val="none"/>
              </w:rPr>
              <w:t>na realizáciu procesu VO, externý a interný manažment</w:t>
            </w:r>
          </w:p>
        </w:tc>
        <w:tc>
          <w:tcPr>
            <w:tcW w:w="3016" w:type="pct"/>
            <w:gridSpan w:val="2"/>
            <w:shd w:val="clear" w:color="auto" w:fill="DEEAF6" w:themeFill="accent1" w:themeFillTint="33"/>
          </w:tcPr>
          <w:p w14:paraId="15D3C005"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p>
          <w:p w14:paraId="777A2B46" w14:textId="4C5693AF" w:rsidR="0095533F" w:rsidRPr="0054336F" w:rsidRDefault="0095533F" w:rsidP="000A0B9B">
            <w:pPr>
              <w:spacing w:after="0" w:line="240" w:lineRule="auto"/>
              <w:jc w:val="center"/>
              <w:rPr>
                <w:rFonts w:eastAsia="Times New Roman" w:cstheme="minorHAnsi"/>
                <w:b/>
                <w:bCs/>
                <w:kern w:val="0"/>
                <w:lang w:eastAsia="sk-SK"/>
                <w14:ligatures w14:val="none"/>
              </w:rPr>
            </w:pPr>
            <w:r w:rsidRPr="0054336F">
              <w:rPr>
                <w:rFonts w:eastAsia="Times New Roman" w:cstheme="minorHAnsi"/>
                <w:b/>
                <w:bCs/>
                <w:kern w:val="0"/>
                <w:lang w:eastAsia="sk-SK"/>
                <w14:ligatures w14:val="none"/>
              </w:rPr>
              <w:t>Celkové priame</w:t>
            </w:r>
            <w:r w:rsidR="00032379">
              <w:rPr>
                <w:rFonts w:eastAsia="Times New Roman" w:cstheme="minorHAnsi"/>
                <w:b/>
                <w:bCs/>
                <w:kern w:val="0"/>
                <w:lang w:eastAsia="sk-SK"/>
                <w14:ligatures w14:val="none"/>
              </w:rPr>
              <w:t xml:space="preserve"> oprávnené výdavky</w:t>
            </w:r>
          </w:p>
        </w:tc>
        <w:tc>
          <w:tcPr>
            <w:tcW w:w="1139" w:type="pct"/>
            <w:vMerge w:val="restart"/>
            <w:shd w:val="clear" w:color="auto" w:fill="DEEAF6" w:themeFill="accent1" w:themeFillTint="33"/>
            <w:vAlign w:val="center"/>
          </w:tcPr>
          <w:p w14:paraId="24DB03C2" w14:textId="1467B3C6" w:rsidR="0095533F" w:rsidRPr="0054336F" w:rsidRDefault="0095533F" w:rsidP="000A0B9B">
            <w:pPr>
              <w:spacing w:after="0" w:line="240" w:lineRule="auto"/>
              <w:jc w:val="center"/>
              <w:rPr>
                <w:rFonts w:eastAsia="Times New Roman" w:cstheme="minorHAnsi"/>
                <w:b/>
                <w:bCs/>
                <w:kern w:val="0"/>
                <w:lang w:eastAsia="sk-SK"/>
                <w14:ligatures w14:val="none"/>
              </w:rPr>
            </w:pPr>
            <w:r w:rsidRPr="0054336F">
              <w:rPr>
                <w:rFonts w:eastAsia="Times New Roman" w:cstheme="minorHAnsi"/>
                <w:b/>
                <w:bCs/>
                <w:kern w:val="0"/>
                <w:lang w:eastAsia="sk-SK"/>
                <w14:ligatures w14:val="none"/>
              </w:rPr>
              <w:t>P</w:t>
            </w:r>
            <w:ins w:id="0" w:author="Hajdin Miloš" w:date="2025-04-07T10:47:00Z" w16du:dateUtc="2025-04-07T08:47:00Z">
              <w:r w:rsidR="00665E65">
                <w:rPr>
                  <w:rFonts w:eastAsia="Times New Roman" w:cstheme="minorHAnsi"/>
                  <w:b/>
                  <w:bCs/>
                  <w:kern w:val="0"/>
                  <w:lang w:eastAsia="sk-SK"/>
                  <w14:ligatures w14:val="none"/>
                </w:rPr>
                <w:t xml:space="preserve">aušálna sadzba </w:t>
              </w:r>
            </w:ins>
            <w:ins w:id="1" w:author="Hajdin Miloš" w:date="2025-04-07T10:56:00Z" w16du:dateUtc="2025-04-07T08:56:00Z">
              <w:r w:rsidR="00665E65">
                <w:rPr>
                  <w:rFonts w:eastAsia="Times New Roman" w:cstheme="minorHAnsi"/>
                  <w:b/>
                  <w:bCs/>
                  <w:kern w:val="0"/>
                  <w:lang w:eastAsia="sk-SK"/>
                  <w14:ligatures w14:val="none"/>
                </w:rPr>
                <w:t xml:space="preserve">na </w:t>
              </w:r>
            </w:ins>
            <w:ins w:id="2" w:author="Hajdin Miloš" w:date="2025-04-07T10:47:00Z" w16du:dateUtc="2025-04-07T08:47:00Z">
              <w:r w:rsidR="00665E65">
                <w:rPr>
                  <w:rFonts w:eastAsia="Times New Roman" w:cstheme="minorHAnsi"/>
                  <w:b/>
                  <w:bCs/>
                  <w:kern w:val="0"/>
                  <w:lang w:eastAsia="sk-SK"/>
                  <w14:ligatures w14:val="none"/>
                </w:rPr>
                <w:t>nepriam</w:t>
              </w:r>
            </w:ins>
            <w:ins w:id="3" w:author="Hajdin Miloš" w:date="2025-04-07T10:56:00Z" w16du:dateUtc="2025-04-07T08:56:00Z">
              <w:r w:rsidR="00665E65">
                <w:rPr>
                  <w:rFonts w:eastAsia="Times New Roman" w:cstheme="minorHAnsi"/>
                  <w:b/>
                  <w:bCs/>
                  <w:kern w:val="0"/>
                  <w:lang w:eastAsia="sk-SK"/>
                  <w14:ligatures w14:val="none"/>
                </w:rPr>
                <w:t>e</w:t>
              </w:r>
            </w:ins>
            <w:ins w:id="4" w:author="Hajdin Miloš" w:date="2025-04-07T10:47:00Z" w16du:dateUtc="2025-04-07T08:47:00Z">
              <w:r w:rsidR="00665E65">
                <w:rPr>
                  <w:rFonts w:eastAsia="Times New Roman" w:cstheme="minorHAnsi"/>
                  <w:b/>
                  <w:bCs/>
                  <w:kern w:val="0"/>
                  <w:lang w:eastAsia="sk-SK"/>
                  <w14:ligatures w14:val="none"/>
                </w:rPr>
                <w:t xml:space="preserve"> výdavk</w:t>
              </w:r>
            </w:ins>
            <w:ins w:id="5" w:author="Hajdin Miloš" w:date="2025-04-07T10:56:00Z" w16du:dateUtc="2025-04-07T08:56:00Z">
              <w:r w:rsidR="00665E65">
                <w:rPr>
                  <w:rFonts w:eastAsia="Times New Roman" w:cstheme="minorHAnsi"/>
                  <w:b/>
                  <w:bCs/>
                  <w:kern w:val="0"/>
                  <w:lang w:eastAsia="sk-SK"/>
                  <w14:ligatures w14:val="none"/>
                </w:rPr>
                <w:t>y</w:t>
              </w:r>
            </w:ins>
            <w:del w:id="6" w:author="Hajdin Miloš" w:date="2025-04-07T10:47:00Z" w16du:dateUtc="2025-04-07T08:47:00Z">
              <w:r w:rsidRPr="0054336F" w:rsidDel="00665E65">
                <w:rPr>
                  <w:rFonts w:eastAsia="Times New Roman" w:cstheme="minorHAnsi"/>
                  <w:b/>
                  <w:bCs/>
                  <w:kern w:val="0"/>
                  <w:lang w:eastAsia="sk-SK"/>
                  <w14:ligatures w14:val="none"/>
                </w:rPr>
                <w:delText>ercentuálny limit</w:delText>
              </w:r>
            </w:del>
            <w:r w:rsidRPr="0054336F">
              <w:rPr>
                <w:rStyle w:val="Odkaznapoznmkupodiarou"/>
                <w:rFonts w:eastAsia="Times New Roman" w:cstheme="minorHAnsi"/>
                <w:b/>
                <w:bCs/>
                <w:kern w:val="0"/>
                <w:lang w:eastAsia="sk-SK"/>
                <w14:ligatures w14:val="none"/>
              </w:rPr>
              <w:footnoteReference w:id="1"/>
            </w:r>
          </w:p>
        </w:tc>
      </w:tr>
      <w:tr w:rsidR="0095533F" w:rsidRPr="0054336F" w14:paraId="0D5C01F3" w14:textId="77777777" w:rsidTr="000A0B9B">
        <w:trPr>
          <w:trHeight w:val="272"/>
        </w:trPr>
        <w:tc>
          <w:tcPr>
            <w:tcW w:w="846" w:type="pct"/>
            <w:vMerge/>
            <w:shd w:val="clear" w:color="auto" w:fill="BDD6EE" w:themeFill="accent1" w:themeFillTint="66"/>
            <w:vAlign w:val="center"/>
          </w:tcPr>
          <w:p w14:paraId="0D912E3E"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p>
        </w:tc>
        <w:tc>
          <w:tcPr>
            <w:tcW w:w="1508" w:type="pct"/>
            <w:shd w:val="clear" w:color="auto" w:fill="DEEAF6" w:themeFill="accent1" w:themeFillTint="33"/>
          </w:tcPr>
          <w:p w14:paraId="15A7C157" w14:textId="77777777" w:rsidR="0095533F" w:rsidRPr="0054336F" w:rsidRDefault="0095533F" w:rsidP="000A0B9B">
            <w:pPr>
              <w:spacing w:after="0" w:line="240" w:lineRule="auto"/>
              <w:jc w:val="center"/>
              <w:rPr>
                <w:rFonts w:eastAsia="Times New Roman" w:cstheme="minorHAnsi"/>
                <w:kern w:val="0"/>
                <w:lang w:eastAsia="sk-SK"/>
                <w14:ligatures w14:val="none"/>
              </w:rPr>
            </w:pPr>
            <w:r w:rsidRPr="0054336F">
              <w:rPr>
                <w:rFonts w:eastAsia="Times New Roman" w:cstheme="minorHAnsi"/>
                <w:kern w:val="0"/>
                <w:lang w:eastAsia="sk-SK"/>
                <w14:ligatures w14:val="none"/>
              </w:rPr>
              <w:t>od</w:t>
            </w:r>
          </w:p>
        </w:tc>
        <w:tc>
          <w:tcPr>
            <w:tcW w:w="1508" w:type="pct"/>
            <w:shd w:val="clear" w:color="auto" w:fill="DEEAF6" w:themeFill="accent1" w:themeFillTint="33"/>
          </w:tcPr>
          <w:p w14:paraId="5FB0EA27" w14:textId="77777777" w:rsidR="0095533F" w:rsidRPr="0054336F" w:rsidRDefault="0095533F" w:rsidP="000A0B9B">
            <w:pPr>
              <w:spacing w:after="0" w:line="240" w:lineRule="auto"/>
              <w:jc w:val="center"/>
              <w:rPr>
                <w:rFonts w:eastAsia="Times New Roman" w:cstheme="minorHAnsi"/>
                <w:kern w:val="0"/>
                <w:lang w:eastAsia="sk-SK"/>
                <w14:ligatures w14:val="none"/>
              </w:rPr>
            </w:pPr>
            <w:r w:rsidRPr="0054336F">
              <w:rPr>
                <w:rFonts w:eastAsia="Times New Roman" w:cstheme="minorHAnsi"/>
                <w:kern w:val="0"/>
                <w:lang w:eastAsia="sk-SK"/>
                <w14:ligatures w14:val="none"/>
              </w:rPr>
              <w:t>do</w:t>
            </w:r>
          </w:p>
        </w:tc>
        <w:tc>
          <w:tcPr>
            <w:tcW w:w="1139" w:type="pct"/>
            <w:vMerge/>
            <w:shd w:val="clear" w:color="auto" w:fill="DEEAF6" w:themeFill="accent1" w:themeFillTint="33"/>
            <w:vAlign w:val="center"/>
          </w:tcPr>
          <w:p w14:paraId="2113BD90"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p>
        </w:tc>
      </w:tr>
      <w:tr w:rsidR="0095533F" w:rsidRPr="0054336F" w14:paraId="7716F174" w14:textId="77777777" w:rsidTr="000A0B9B">
        <w:trPr>
          <w:trHeight w:val="280"/>
        </w:trPr>
        <w:tc>
          <w:tcPr>
            <w:tcW w:w="846" w:type="pct"/>
            <w:vMerge/>
            <w:shd w:val="clear" w:color="auto" w:fill="BDD6EE" w:themeFill="accent1" w:themeFillTint="66"/>
          </w:tcPr>
          <w:p w14:paraId="1DC38971"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p>
        </w:tc>
        <w:tc>
          <w:tcPr>
            <w:tcW w:w="1508" w:type="pct"/>
          </w:tcPr>
          <w:p w14:paraId="717C766F" w14:textId="77777777" w:rsidR="0095533F" w:rsidRPr="0054336F" w:rsidRDefault="0095533F" w:rsidP="000A0B9B">
            <w:pPr>
              <w:spacing w:after="0" w:line="240" w:lineRule="auto"/>
              <w:jc w:val="right"/>
              <w:rPr>
                <w:rFonts w:eastAsia="Times New Roman" w:cstheme="minorHAnsi"/>
                <w:kern w:val="0"/>
                <w:lang w:eastAsia="sk-SK"/>
                <w14:ligatures w14:val="none"/>
              </w:rPr>
            </w:pPr>
            <w:r w:rsidRPr="0054336F">
              <w:rPr>
                <w:rFonts w:eastAsia="Times New Roman" w:cstheme="minorHAnsi"/>
                <w:kern w:val="0"/>
                <w:lang w:eastAsia="sk-SK"/>
                <w14:ligatures w14:val="none"/>
              </w:rPr>
              <w:t>0,00</w:t>
            </w:r>
          </w:p>
        </w:tc>
        <w:tc>
          <w:tcPr>
            <w:tcW w:w="1508" w:type="pct"/>
          </w:tcPr>
          <w:p w14:paraId="4ED87DFA" w14:textId="77777777" w:rsidR="0095533F" w:rsidRPr="0054336F" w:rsidRDefault="0095533F" w:rsidP="000A0B9B">
            <w:pPr>
              <w:spacing w:after="0" w:line="240" w:lineRule="auto"/>
              <w:jc w:val="right"/>
              <w:rPr>
                <w:rFonts w:eastAsia="Times New Roman" w:cstheme="minorHAnsi"/>
                <w:kern w:val="0"/>
                <w:lang w:eastAsia="sk-SK"/>
                <w14:ligatures w14:val="none"/>
              </w:rPr>
            </w:pPr>
            <w:r w:rsidRPr="0054336F">
              <w:rPr>
                <w:rFonts w:eastAsia="Times New Roman" w:cstheme="minorHAnsi"/>
                <w:kern w:val="0"/>
                <w:lang w:eastAsia="sk-SK"/>
                <w14:ligatures w14:val="none"/>
              </w:rPr>
              <w:t xml:space="preserve"> 499 999,99</w:t>
            </w:r>
          </w:p>
        </w:tc>
        <w:tc>
          <w:tcPr>
            <w:tcW w:w="1139" w:type="pct"/>
            <w:shd w:val="clear" w:color="auto" w:fill="auto"/>
          </w:tcPr>
          <w:p w14:paraId="6265D12F" w14:textId="0C74B0E7" w:rsidR="0095533F" w:rsidRPr="0054336F" w:rsidRDefault="0095533F" w:rsidP="000A0B9B">
            <w:pPr>
              <w:spacing w:after="0" w:line="240" w:lineRule="auto"/>
              <w:jc w:val="center"/>
              <w:rPr>
                <w:rFonts w:eastAsia="Times New Roman" w:cstheme="minorHAnsi"/>
                <w:kern w:val="0"/>
                <w:lang w:eastAsia="sk-SK"/>
                <w14:ligatures w14:val="none"/>
              </w:rPr>
            </w:pPr>
            <w:r w:rsidRPr="0054336F">
              <w:rPr>
                <w:rFonts w:eastAsia="Times New Roman" w:cstheme="minorHAnsi"/>
                <w:kern w:val="0"/>
                <w:lang w:eastAsia="sk-SK"/>
                <w14:ligatures w14:val="none"/>
              </w:rPr>
              <w:t>7</w:t>
            </w:r>
            <w:del w:id="15" w:author="Mikuška Matej" w:date="2025-04-25T16:23:00Z" w16du:dateUtc="2025-04-25T14:23:00Z">
              <w:r w:rsidRPr="0054336F" w:rsidDel="00C14020">
                <w:rPr>
                  <w:rFonts w:eastAsia="Times New Roman" w:cstheme="minorHAnsi"/>
                  <w:kern w:val="0"/>
                  <w:lang w:eastAsia="sk-SK"/>
                  <w14:ligatures w14:val="none"/>
                </w:rPr>
                <w:delText>,00</w:delText>
              </w:r>
            </w:del>
            <w:ins w:id="16" w:author="Mikuška Matej" w:date="2025-04-25T16:23:00Z" w16du:dateUtc="2025-04-25T14:23:00Z">
              <w:r w:rsidR="00C14020">
                <w:rPr>
                  <w:rFonts w:eastAsia="Times New Roman" w:cstheme="minorHAnsi"/>
                  <w:kern w:val="0"/>
                  <w:lang w:eastAsia="sk-SK"/>
                  <w14:ligatures w14:val="none"/>
                </w:rPr>
                <w:t>%</w:t>
              </w:r>
            </w:ins>
          </w:p>
        </w:tc>
      </w:tr>
      <w:tr w:rsidR="0095533F" w:rsidRPr="0054336F" w14:paraId="0A287A75" w14:textId="77777777" w:rsidTr="000A0B9B">
        <w:trPr>
          <w:trHeight w:val="280"/>
        </w:trPr>
        <w:tc>
          <w:tcPr>
            <w:tcW w:w="846" w:type="pct"/>
            <w:vMerge/>
            <w:shd w:val="clear" w:color="auto" w:fill="BDD6EE" w:themeFill="accent1" w:themeFillTint="66"/>
          </w:tcPr>
          <w:p w14:paraId="4639F93C"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p>
        </w:tc>
        <w:tc>
          <w:tcPr>
            <w:tcW w:w="1508" w:type="pct"/>
          </w:tcPr>
          <w:p w14:paraId="391B43A5" w14:textId="77777777" w:rsidR="0095533F" w:rsidRPr="0054336F" w:rsidRDefault="0095533F" w:rsidP="000A0B9B">
            <w:pPr>
              <w:spacing w:after="0" w:line="240" w:lineRule="auto"/>
              <w:jc w:val="right"/>
              <w:rPr>
                <w:rFonts w:eastAsia="Times New Roman" w:cstheme="minorHAnsi"/>
                <w:kern w:val="0"/>
                <w:lang w:eastAsia="sk-SK"/>
                <w14:ligatures w14:val="none"/>
              </w:rPr>
            </w:pPr>
            <w:r w:rsidRPr="0054336F">
              <w:rPr>
                <w:rFonts w:eastAsia="Times New Roman" w:cstheme="minorHAnsi"/>
                <w:kern w:val="0"/>
                <w:lang w:eastAsia="sk-SK"/>
                <w14:ligatures w14:val="none"/>
              </w:rPr>
              <w:t>500 000,00</w:t>
            </w:r>
          </w:p>
        </w:tc>
        <w:tc>
          <w:tcPr>
            <w:tcW w:w="1508" w:type="pct"/>
          </w:tcPr>
          <w:p w14:paraId="65FEEA67" w14:textId="77777777" w:rsidR="0095533F" w:rsidRPr="0054336F" w:rsidRDefault="0095533F" w:rsidP="000A0B9B">
            <w:pPr>
              <w:spacing w:after="0" w:line="240" w:lineRule="auto"/>
              <w:jc w:val="right"/>
              <w:rPr>
                <w:rFonts w:eastAsia="Times New Roman" w:cstheme="minorHAnsi"/>
                <w:kern w:val="0"/>
                <w:lang w:eastAsia="sk-SK"/>
                <w14:ligatures w14:val="none"/>
              </w:rPr>
            </w:pPr>
            <w:r w:rsidRPr="0054336F">
              <w:rPr>
                <w:rFonts w:eastAsia="Times New Roman" w:cstheme="minorHAnsi"/>
                <w:kern w:val="0"/>
                <w:lang w:eastAsia="sk-SK"/>
                <w14:ligatures w14:val="none"/>
              </w:rPr>
              <w:t xml:space="preserve"> 999 999,99</w:t>
            </w:r>
          </w:p>
        </w:tc>
        <w:tc>
          <w:tcPr>
            <w:tcW w:w="1139" w:type="pct"/>
            <w:shd w:val="clear" w:color="auto" w:fill="auto"/>
          </w:tcPr>
          <w:p w14:paraId="7F736CF9" w14:textId="0AD04BF9" w:rsidR="0095533F" w:rsidRPr="0054336F" w:rsidRDefault="00E82C99" w:rsidP="000A0B9B">
            <w:pPr>
              <w:spacing w:after="0" w:line="240" w:lineRule="auto"/>
              <w:jc w:val="center"/>
              <w:rPr>
                <w:rFonts w:eastAsia="Times New Roman" w:cstheme="minorHAnsi"/>
                <w:kern w:val="0"/>
                <w:lang w:eastAsia="sk-SK"/>
                <w14:ligatures w14:val="none"/>
              </w:rPr>
            </w:pPr>
            <w:r>
              <w:rPr>
                <w:rFonts w:eastAsia="Times New Roman" w:cstheme="minorHAnsi"/>
                <w:kern w:val="0"/>
                <w:lang w:eastAsia="sk-SK"/>
                <w14:ligatures w14:val="none"/>
              </w:rPr>
              <w:t>5</w:t>
            </w:r>
            <w:del w:id="17" w:author="Mikuška Matej" w:date="2025-04-25T16:23:00Z" w16du:dateUtc="2025-04-25T14:23:00Z">
              <w:r w:rsidR="0095533F" w:rsidRPr="0054336F" w:rsidDel="00C14020">
                <w:rPr>
                  <w:rFonts w:eastAsia="Times New Roman" w:cstheme="minorHAnsi"/>
                  <w:kern w:val="0"/>
                  <w:lang w:eastAsia="sk-SK"/>
                  <w14:ligatures w14:val="none"/>
                </w:rPr>
                <w:delText>,00</w:delText>
              </w:r>
            </w:del>
            <w:ins w:id="18" w:author="Mikuška Matej" w:date="2025-04-25T16:23:00Z" w16du:dateUtc="2025-04-25T14:23:00Z">
              <w:r w:rsidR="00C14020">
                <w:rPr>
                  <w:rFonts w:eastAsia="Times New Roman" w:cstheme="minorHAnsi"/>
                  <w:kern w:val="0"/>
                  <w:lang w:eastAsia="sk-SK"/>
                  <w14:ligatures w14:val="none"/>
                </w:rPr>
                <w:t>%</w:t>
              </w:r>
            </w:ins>
          </w:p>
        </w:tc>
      </w:tr>
      <w:tr w:rsidR="0095533F" w:rsidRPr="0054336F" w14:paraId="56FEC732" w14:textId="77777777" w:rsidTr="000A0B9B">
        <w:trPr>
          <w:trHeight w:val="280"/>
        </w:trPr>
        <w:tc>
          <w:tcPr>
            <w:tcW w:w="846" w:type="pct"/>
            <w:vMerge/>
            <w:shd w:val="clear" w:color="auto" w:fill="BDD6EE" w:themeFill="accent1" w:themeFillTint="66"/>
          </w:tcPr>
          <w:p w14:paraId="4DEE807E"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p>
        </w:tc>
        <w:tc>
          <w:tcPr>
            <w:tcW w:w="1508" w:type="pct"/>
          </w:tcPr>
          <w:p w14:paraId="51C43F22" w14:textId="77777777" w:rsidR="0095533F" w:rsidRPr="0054336F" w:rsidRDefault="0095533F" w:rsidP="000A0B9B">
            <w:pPr>
              <w:spacing w:after="0" w:line="240" w:lineRule="auto"/>
              <w:jc w:val="right"/>
              <w:rPr>
                <w:rFonts w:eastAsia="Times New Roman" w:cstheme="minorHAnsi"/>
                <w:kern w:val="0"/>
                <w:lang w:eastAsia="sk-SK"/>
                <w14:ligatures w14:val="none"/>
              </w:rPr>
            </w:pPr>
            <w:r w:rsidRPr="0054336F">
              <w:rPr>
                <w:rFonts w:eastAsia="Times New Roman" w:cstheme="minorHAnsi"/>
                <w:kern w:val="0"/>
                <w:lang w:eastAsia="sk-SK"/>
                <w14:ligatures w14:val="none"/>
              </w:rPr>
              <w:t>1 000 000,00</w:t>
            </w:r>
          </w:p>
        </w:tc>
        <w:tc>
          <w:tcPr>
            <w:tcW w:w="1508" w:type="pct"/>
          </w:tcPr>
          <w:p w14:paraId="70B6E1A0" w14:textId="77777777" w:rsidR="0095533F" w:rsidRPr="0054336F" w:rsidRDefault="0095533F" w:rsidP="000A0B9B">
            <w:pPr>
              <w:spacing w:after="0" w:line="240" w:lineRule="auto"/>
              <w:jc w:val="right"/>
              <w:rPr>
                <w:rFonts w:eastAsia="Times New Roman" w:cstheme="minorHAnsi"/>
                <w:kern w:val="0"/>
                <w:lang w:eastAsia="sk-SK"/>
                <w14:ligatures w14:val="none"/>
              </w:rPr>
            </w:pPr>
            <w:r w:rsidRPr="0054336F">
              <w:rPr>
                <w:rFonts w:eastAsia="Times New Roman" w:cstheme="minorHAnsi"/>
                <w:kern w:val="0"/>
                <w:lang w:eastAsia="sk-SK"/>
                <w14:ligatures w14:val="none"/>
              </w:rPr>
              <w:t>2 999 999,99</w:t>
            </w:r>
          </w:p>
        </w:tc>
        <w:tc>
          <w:tcPr>
            <w:tcW w:w="1139" w:type="pct"/>
            <w:shd w:val="clear" w:color="auto" w:fill="auto"/>
          </w:tcPr>
          <w:p w14:paraId="32FAB501" w14:textId="5DF39767" w:rsidR="0095533F" w:rsidRPr="0054336F" w:rsidRDefault="00E82C99" w:rsidP="000A0B9B">
            <w:pPr>
              <w:spacing w:after="0" w:line="240" w:lineRule="auto"/>
              <w:jc w:val="center"/>
              <w:rPr>
                <w:rFonts w:eastAsia="Times New Roman" w:cstheme="minorHAnsi"/>
                <w:kern w:val="0"/>
                <w:lang w:eastAsia="sk-SK"/>
                <w14:ligatures w14:val="none"/>
              </w:rPr>
            </w:pPr>
            <w:r>
              <w:rPr>
                <w:rFonts w:eastAsia="Times New Roman" w:cstheme="minorHAnsi"/>
                <w:kern w:val="0"/>
                <w:lang w:eastAsia="sk-SK"/>
                <w14:ligatures w14:val="none"/>
              </w:rPr>
              <w:t>3</w:t>
            </w:r>
            <w:del w:id="19" w:author="Mikuška Matej" w:date="2025-04-25T16:23:00Z" w16du:dateUtc="2025-04-25T14:23:00Z">
              <w:r w:rsidR="0095533F" w:rsidRPr="0054336F" w:rsidDel="00C14020">
                <w:rPr>
                  <w:rFonts w:eastAsia="Times New Roman" w:cstheme="minorHAnsi"/>
                  <w:kern w:val="0"/>
                  <w:lang w:eastAsia="sk-SK"/>
                  <w14:ligatures w14:val="none"/>
                </w:rPr>
                <w:delText>,00</w:delText>
              </w:r>
            </w:del>
            <w:ins w:id="20" w:author="Mikuška Matej" w:date="2025-04-25T16:23:00Z" w16du:dateUtc="2025-04-25T14:23:00Z">
              <w:r w:rsidR="00C14020">
                <w:rPr>
                  <w:rFonts w:eastAsia="Times New Roman" w:cstheme="minorHAnsi"/>
                  <w:kern w:val="0"/>
                  <w:lang w:eastAsia="sk-SK"/>
                  <w14:ligatures w14:val="none"/>
                </w:rPr>
                <w:t>%</w:t>
              </w:r>
            </w:ins>
          </w:p>
        </w:tc>
      </w:tr>
      <w:tr w:rsidR="0095533F" w:rsidRPr="0054336F" w14:paraId="58CF43AB" w14:textId="77777777" w:rsidTr="000A0B9B">
        <w:trPr>
          <w:trHeight w:val="280"/>
        </w:trPr>
        <w:tc>
          <w:tcPr>
            <w:tcW w:w="846" w:type="pct"/>
            <w:vMerge/>
            <w:shd w:val="clear" w:color="auto" w:fill="BDD6EE" w:themeFill="accent1" w:themeFillTint="66"/>
          </w:tcPr>
          <w:p w14:paraId="072CAF38" w14:textId="77777777" w:rsidR="0095533F" w:rsidRPr="0054336F" w:rsidRDefault="0095533F" w:rsidP="000A0B9B">
            <w:pPr>
              <w:spacing w:after="0" w:line="240" w:lineRule="auto"/>
              <w:jc w:val="center"/>
              <w:rPr>
                <w:rFonts w:eastAsia="Times New Roman" w:cstheme="minorHAnsi"/>
                <w:b/>
                <w:bCs/>
                <w:kern w:val="0"/>
                <w:lang w:eastAsia="sk-SK"/>
                <w14:ligatures w14:val="none"/>
              </w:rPr>
            </w:pPr>
          </w:p>
        </w:tc>
        <w:tc>
          <w:tcPr>
            <w:tcW w:w="3016" w:type="pct"/>
            <w:gridSpan w:val="2"/>
          </w:tcPr>
          <w:p w14:paraId="584AB9F4" w14:textId="77777777" w:rsidR="0095533F" w:rsidRPr="0054336F" w:rsidRDefault="0095533F" w:rsidP="000A0B9B">
            <w:pPr>
              <w:spacing w:after="0" w:line="240" w:lineRule="auto"/>
              <w:jc w:val="center"/>
              <w:rPr>
                <w:rFonts w:eastAsia="Times New Roman" w:cstheme="minorHAnsi"/>
                <w:kern w:val="0"/>
                <w:lang w:eastAsia="sk-SK"/>
                <w14:ligatures w14:val="none"/>
              </w:rPr>
            </w:pPr>
            <w:r w:rsidRPr="0054336F">
              <w:rPr>
                <w:rFonts w:eastAsia="Times New Roman" w:cstheme="minorHAnsi"/>
                <w:kern w:val="0"/>
                <w:lang w:eastAsia="sk-SK"/>
                <w14:ligatures w14:val="none"/>
              </w:rPr>
              <w:t>3 000 000,00 a viac</w:t>
            </w:r>
          </w:p>
        </w:tc>
        <w:tc>
          <w:tcPr>
            <w:tcW w:w="1139" w:type="pct"/>
            <w:shd w:val="clear" w:color="auto" w:fill="auto"/>
          </w:tcPr>
          <w:p w14:paraId="45CCB1D6" w14:textId="126FB056" w:rsidR="0095533F" w:rsidRPr="0054336F" w:rsidRDefault="00E82C99" w:rsidP="000A0B9B">
            <w:pPr>
              <w:spacing w:after="0" w:line="240" w:lineRule="auto"/>
              <w:jc w:val="center"/>
              <w:rPr>
                <w:rFonts w:eastAsia="Times New Roman" w:cstheme="minorHAnsi"/>
                <w:kern w:val="0"/>
                <w:lang w:eastAsia="sk-SK"/>
                <w14:ligatures w14:val="none"/>
              </w:rPr>
            </w:pPr>
            <w:r>
              <w:rPr>
                <w:rFonts w:eastAsia="Times New Roman" w:cstheme="minorHAnsi"/>
                <w:kern w:val="0"/>
                <w:lang w:eastAsia="sk-SK"/>
                <w14:ligatures w14:val="none"/>
              </w:rPr>
              <w:t>2</w:t>
            </w:r>
            <w:del w:id="21" w:author="Mikuška Matej" w:date="2025-04-25T16:23:00Z" w16du:dateUtc="2025-04-25T14:23:00Z">
              <w:r w:rsidR="0095533F" w:rsidRPr="0054336F" w:rsidDel="00C14020">
                <w:rPr>
                  <w:rFonts w:eastAsia="Times New Roman" w:cstheme="minorHAnsi"/>
                  <w:kern w:val="0"/>
                  <w:lang w:eastAsia="sk-SK"/>
                  <w14:ligatures w14:val="none"/>
                </w:rPr>
                <w:delText>,00</w:delText>
              </w:r>
            </w:del>
            <w:ins w:id="22" w:author="Mikuška Matej" w:date="2025-04-25T16:23:00Z" w16du:dateUtc="2025-04-25T14:23:00Z">
              <w:r w:rsidR="00C14020">
                <w:rPr>
                  <w:rFonts w:eastAsia="Times New Roman" w:cstheme="minorHAnsi"/>
                  <w:kern w:val="0"/>
                  <w:lang w:eastAsia="sk-SK"/>
                  <w14:ligatures w14:val="none"/>
                </w:rPr>
                <w:t>%</w:t>
              </w:r>
            </w:ins>
          </w:p>
        </w:tc>
      </w:tr>
    </w:tbl>
    <w:p w14:paraId="2263EAAA" w14:textId="77777777" w:rsidR="0095533F" w:rsidRDefault="0095533F" w:rsidP="008546B3">
      <w:pPr>
        <w:spacing w:after="0"/>
        <w:jc w:val="both"/>
        <w:rPr>
          <w:rFonts w:eastAsiaTheme="majorEastAsia" w:cstheme="minorHAnsi"/>
          <w:sz w:val="24"/>
          <w:szCs w:val="24"/>
        </w:rPr>
      </w:pPr>
    </w:p>
    <w:p w14:paraId="718AD374" w14:textId="77777777" w:rsidR="00032379" w:rsidRPr="0054336F" w:rsidRDefault="00032379" w:rsidP="0095533F">
      <w:pPr>
        <w:spacing w:after="0"/>
        <w:jc w:val="both"/>
        <w:rPr>
          <w:rFonts w:eastAsiaTheme="majorEastAsia" w:cstheme="minorHAnsi"/>
          <w:sz w:val="24"/>
          <w:szCs w:val="24"/>
        </w:rPr>
      </w:pPr>
    </w:p>
    <w:p w14:paraId="272AD333" w14:textId="7B26B464" w:rsidR="0095533F" w:rsidRPr="0054336F" w:rsidRDefault="0095533F" w:rsidP="0095533F">
      <w:pPr>
        <w:jc w:val="both"/>
        <w:rPr>
          <w:rFonts w:eastAsiaTheme="majorEastAsia" w:cstheme="minorHAnsi"/>
          <w:b/>
          <w:bCs/>
          <w:color w:val="2E74B5" w:themeColor="accent1" w:themeShade="BF"/>
          <w:sz w:val="24"/>
          <w:szCs w:val="24"/>
        </w:rPr>
      </w:pPr>
      <w:r w:rsidRPr="0054336F">
        <w:rPr>
          <w:rFonts w:eastAsiaTheme="majorEastAsia" w:cstheme="minorHAnsi"/>
          <w:b/>
          <w:bCs/>
          <w:color w:val="2E74B5" w:themeColor="accent1" w:themeShade="BF"/>
          <w:sz w:val="24"/>
          <w:szCs w:val="24"/>
        </w:rPr>
        <w:t xml:space="preserve">Metodika stanovenia výšky oprávnených výdavkov </w:t>
      </w:r>
    </w:p>
    <w:p w14:paraId="30F5212C" w14:textId="4A5F8929" w:rsidR="0095533F" w:rsidRPr="008146B2" w:rsidRDefault="0095533F" w:rsidP="0095533F">
      <w:pPr>
        <w:autoSpaceDE w:val="0"/>
        <w:autoSpaceDN w:val="0"/>
        <w:adjustRightInd w:val="0"/>
        <w:spacing w:after="0" w:line="240" w:lineRule="auto"/>
        <w:jc w:val="both"/>
        <w:rPr>
          <w:rFonts w:eastAsiaTheme="majorEastAsia" w:cstheme="minorHAnsi"/>
          <w:b/>
          <w:bCs/>
        </w:rPr>
      </w:pPr>
      <w:r w:rsidRPr="008146B2">
        <w:rPr>
          <w:rFonts w:eastAsiaTheme="majorEastAsia" w:cstheme="minorHAnsi"/>
        </w:rPr>
        <w:t xml:space="preserve">Nepriame výdavky deklarované na základe tejto PS </w:t>
      </w:r>
      <w:r w:rsidRPr="008146B2">
        <w:rPr>
          <w:rFonts w:eastAsiaTheme="majorEastAsia" w:cstheme="minorHAnsi"/>
          <w:b/>
          <w:bCs/>
        </w:rPr>
        <w:t xml:space="preserve">nesmú presiahnuť </w:t>
      </w:r>
      <w:r w:rsidR="00E82C99">
        <w:rPr>
          <w:rFonts w:eastAsiaTheme="majorEastAsia" w:cstheme="minorHAnsi"/>
          <w:b/>
          <w:bCs/>
        </w:rPr>
        <w:t xml:space="preserve">2 až </w:t>
      </w:r>
      <w:r w:rsidRPr="008146B2">
        <w:rPr>
          <w:rFonts w:eastAsiaTheme="majorEastAsia" w:cstheme="minorHAnsi"/>
          <w:b/>
          <w:bCs/>
        </w:rPr>
        <w:t xml:space="preserve">7 % oprávnených priamych výdavkov. </w:t>
      </w:r>
    </w:p>
    <w:p w14:paraId="63F17C0F" w14:textId="4C3B52BB" w:rsidR="00182FCA" w:rsidRDefault="00E82C99" w:rsidP="00182FCA">
      <w:pPr>
        <w:jc w:val="both"/>
        <w:rPr>
          <w:ins w:id="23" w:author="Hajdin Miloš" w:date="2025-04-07T10:58:00Z" w16du:dateUtc="2025-04-07T08:58:00Z"/>
          <w:rFonts w:eastAsiaTheme="majorEastAsia" w:cstheme="minorHAnsi"/>
        </w:rPr>
      </w:pPr>
      <w:r w:rsidRPr="008146B2">
        <w:rPr>
          <w:rFonts w:eastAsiaTheme="majorEastAsia" w:cstheme="minorHAnsi"/>
        </w:rPr>
        <w:t>Celková výška oprávnených nepriamych výdavkov sa vypočíta ako súčin celkových oprávnených priamych výdavkov a stanovenej výšky PS na nepriame výdavky (2 až 7 %</w:t>
      </w:r>
      <w:r>
        <w:rPr>
          <w:rFonts w:eastAsiaTheme="majorEastAsia" w:cstheme="minorHAnsi"/>
        </w:rPr>
        <w:t xml:space="preserve"> </w:t>
      </w:r>
      <w:r w:rsidR="00182FCA">
        <w:rPr>
          <w:rFonts w:eastAsiaTheme="majorEastAsia" w:cstheme="minorHAnsi"/>
        </w:rPr>
        <w:t>podľa Tabuľky č. 1</w:t>
      </w:r>
      <w:r w:rsidR="00182FCA" w:rsidRPr="008146B2">
        <w:rPr>
          <w:rFonts w:eastAsiaTheme="majorEastAsia" w:cstheme="minorHAnsi"/>
        </w:rPr>
        <w:t>). To znamená, že celkové oprávnené priame výdavky tvoria základňu pre výpočet a následnú úhradu PS na nepriame výdavky.</w:t>
      </w:r>
    </w:p>
    <w:p w14:paraId="57D3BB5D" w14:textId="45A3CF45" w:rsidR="00665E65" w:rsidRDefault="007E3A66" w:rsidP="00182FCA">
      <w:pPr>
        <w:jc w:val="both"/>
        <w:rPr>
          <w:ins w:id="24" w:author="Hajdin Miloš" w:date="2025-04-07T11:17:00Z" w16du:dateUtc="2025-04-07T09:17:00Z"/>
          <w:rFonts w:eastAsiaTheme="majorEastAsia" w:cstheme="minorHAnsi"/>
        </w:rPr>
      </w:pPr>
      <w:ins w:id="25" w:author="Hajdin Miloš" w:date="2025-04-07T11:13:00Z" w16du:dateUtc="2025-04-07T09:13:00Z">
        <w:r>
          <w:rPr>
            <w:rFonts w:eastAsiaTheme="majorEastAsia" w:cstheme="minorHAnsi"/>
          </w:rPr>
          <w:t xml:space="preserve">Vzhľadom na krížové financovanie </w:t>
        </w:r>
      </w:ins>
      <w:ins w:id="26" w:author="Hajdin Miloš" w:date="2025-04-07T11:14:00Z" w16du:dateUtc="2025-04-07T09:14:00Z">
        <w:r>
          <w:rPr>
            <w:rFonts w:eastAsiaTheme="majorEastAsia" w:cstheme="minorHAnsi"/>
          </w:rPr>
          <w:t xml:space="preserve">pri pozícii asistenta bývania, ktorého priame náklady vstupujú do základne na výpočet príslušnej výšky nepriamych výdavkov, </w:t>
        </w:r>
      </w:ins>
      <w:ins w:id="27" w:author="Hajdin Miloš" w:date="2025-04-07T11:15:00Z" w16du:dateUtc="2025-04-07T09:15:00Z">
        <w:r>
          <w:rPr>
            <w:rFonts w:eastAsiaTheme="majorEastAsia" w:cstheme="minorHAnsi"/>
          </w:rPr>
          <w:t xml:space="preserve">prichádza následne k ich pomernému rozdeleniu, aby bolo jednoznačne identifikovateľné, aká časť nepriamych výdavkov prináleží </w:t>
        </w:r>
      </w:ins>
      <w:ins w:id="28" w:author="Hajdin Miloš" w:date="2025-04-07T11:16:00Z" w16du:dateUtc="2025-04-07T09:16:00Z">
        <w:r w:rsidR="00656164">
          <w:rPr>
            <w:rFonts w:eastAsiaTheme="majorEastAsia" w:cstheme="minorHAnsi"/>
          </w:rPr>
          <w:t xml:space="preserve">k priamym </w:t>
        </w:r>
        <w:r w:rsidR="00656164">
          <w:rPr>
            <w:rFonts w:eastAsiaTheme="majorEastAsia" w:cstheme="minorHAnsi"/>
          </w:rPr>
          <w:lastRenderedPageBreak/>
          <w:t xml:space="preserve">oprávneným výdavkom </w:t>
        </w:r>
      </w:ins>
      <w:ins w:id="29" w:author="Hajdin Miloš" w:date="2025-04-07T11:15:00Z" w16du:dateUtc="2025-04-07T09:15:00Z">
        <w:r>
          <w:rPr>
            <w:rFonts w:eastAsiaTheme="majorEastAsia" w:cstheme="minorHAnsi"/>
          </w:rPr>
          <w:t xml:space="preserve">na pozíciu asistenta bývania. </w:t>
        </w:r>
      </w:ins>
      <w:ins w:id="30" w:author="Hajdin Miloš" w:date="2025-04-07T11:16:00Z" w16du:dateUtc="2025-04-07T09:16:00Z">
        <w:r w:rsidR="00656164">
          <w:rPr>
            <w:rFonts w:eastAsiaTheme="majorEastAsia" w:cstheme="minorHAnsi"/>
          </w:rPr>
          <w:t xml:space="preserve">Preto sa pre účely sledovania týchto výdavkov </w:t>
        </w:r>
      </w:ins>
      <w:ins w:id="31" w:author="Hajdin Miloš" w:date="2025-04-07T11:17:00Z" w16du:dateUtc="2025-04-07T09:17:00Z">
        <w:r w:rsidR="00656164">
          <w:rPr>
            <w:rFonts w:eastAsiaTheme="majorEastAsia" w:cstheme="minorHAnsi"/>
          </w:rPr>
          <w:t xml:space="preserve">používa uvedené rozčlenenie. </w:t>
        </w:r>
      </w:ins>
    </w:p>
    <w:p w14:paraId="26D6AFB4" w14:textId="4CA74775" w:rsidR="00656164" w:rsidRPr="008146B2" w:rsidRDefault="00656164" w:rsidP="00182FCA">
      <w:pPr>
        <w:jc w:val="both"/>
        <w:rPr>
          <w:rFonts w:eastAsiaTheme="majorEastAsia" w:cstheme="minorHAnsi"/>
        </w:rPr>
      </w:pPr>
      <w:ins w:id="32" w:author="Hajdin Miloš" w:date="2025-04-07T11:17:00Z" w16du:dateUtc="2025-04-07T09:17:00Z">
        <w:r>
          <w:rPr>
            <w:rFonts w:eastAsiaTheme="majorEastAsia" w:cstheme="minorHAnsi"/>
          </w:rPr>
          <w:t>Spôsob výpočtu: Celkové priame oprávnené výdavky (vrátane priamych oprávnených výdavkov na poz</w:t>
        </w:r>
      </w:ins>
      <w:ins w:id="33" w:author="Hajdin Miloš" w:date="2025-04-07T11:18:00Z" w16du:dateUtc="2025-04-07T09:18:00Z">
        <w:r>
          <w:rPr>
            <w:rFonts w:eastAsiaTheme="majorEastAsia" w:cstheme="minorHAnsi"/>
          </w:rPr>
          <w:t>íciu asistenta bývania) sa podľa ich výšky vynásobia príslušným percentom podľa Tabuľky č. 1. Následne sa vypo</w:t>
        </w:r>
      </w:ins>
      <w:ins w:id="34" w:author="Hajdin Miloš" w:date="2025-04-07T11:19:00Z" w16du:dateUtc="2025-04-07T09:19:00Z">
        <w:r>
          <w:rPr>
            <w:rFonts w:eastAsiaTheme="majorEastAsia" w:cstheme="minorHAnsi"/>
          </w:rPr>
          <w:t>čítaná celková suma nepriamych výdavkov pomerne rozdelí, tak aby zodpovedala pomeru priamych oprávnených výdavkov na pozíciu asistenta bývania</w:t>
        </w:r>
      </w:ins>
      <w:ins w:id="35" w:author="Mikuška Matej" w:date="2025-04-25T16:24:00Z" w16du:dateUtc="2025-04-25T14:24:00Z">
        <w:r w:rsidR="00C14020">
          <w:rPr>
            <w:rFonts w:eastAsiaTheme="majorEastAsia" w:cstheme="minorHAnsi"/>
          </w:rPr>
          <w:t xml:space="preserve"> a zvyšným priamym oprávneným výdavkom</w:t>
        </w:r>
      </w:ins>
      <w:ins w:id="36" w:author="Hajdin Miloš" w:date="2025-04-07T11:19:00Z" w16du:dateUtc="2025-04-07T09:19:00Z">
        <w:r>
          <w:rPr>
            <w:rFonts w:eastAsiaTheme="majorEastAsia" w:cstheme="minorHAnsi"/>
          </w:rPr>
          <w:t xml:space="preserve"> na celkových priamych oprávnených výdavko</w:t>
        </w:r>
      </w:ins>
      <w:ins w:id="37" w:author="Hajdin Miloš" w:date="2025-04-07T11:20:00Z" w16du:dateUtc="2025-04-07T09:20:00Z">
        <w:r>
          <w:rPr>
            <w:rFonts w:eastAsiaTheme="majorEastAsia" w:cstheme="minorHAnsi"/>
          </w:rPr>
          <w:t>ch.</w:t>
        </w:r>
      </w:ins>
    </w:p>
    <w:p w14:paraId="5AA01FCD" w14:textId="77777777" w:rsidR="0095533F" w:rsidRPr="008146B2" w:rsidRDefault="0095533F" w:rsidP="0095533F">
      <w:pPr>
        <w:autoSpaceDE w:val="0"/>
        <w:autoSpaceDN w:val="0"/>
        <w:adjustRightInd w:val="0"/>
        <w:spacing w:after="0" w:line="240" w:lineRule="auto"/>
        <w:jc w:val="both"/>
        <w:rPr>
          <w:rFonts w:cstheme="minorHAnsi"/>
          <w:color w:val="000000"/>
          <w:kern w:val="0"/>
        </w:rPr>
      </w:pPr>
      <w:r w:rsidRPr="008146B2">
        <w:rPr>
          <w:rFonts w:cstheme="minorHAnsi"/>
          <w:b/>
          <w:bCs/>
          <w:color w:val="000000"/>
          <w:kern w:val="0"/>
        </w:rPr>
        <w:t xml:space="preserve">Spôsob výkonu kontroly </w:t>
      </w:r>
    </w:p>
    <w:p w14:paraId="4BF0DB15" w14:textId="77777777" w:rsidR="0095533F" w:rsidRPr="008146B2" w:rsidRDefault="0095533F" w:rsidP="0095533F">
      <w:pPr>
        <w:autoSpaceDE w:val="0"/>
        <w:autoSpaceDN w:val="0"/>
        <w:adjustRightInd w:val="0"/>
        <w:spacing w:after="0" w:line="240" w:lineRule="auto"/>
        <w:jc w:val="both"/>
        <w:rPr>
          <w:rFonts w:eastAsiaTheme="majorEastAsia" w:cstheme="minorHAnsi"/>
        </w:rPr>
      </w:pPr>
      <w:r w:rsidRPr="008146B2">
        <w:rPr>
          <w:rFonts w:eastAsiaTheme="majorEastAsia" w:cstheme="minorHAnsi"/>
        </w:rPr>
        <w:t xml:space="preserve">V prípade ZVV formou PS na nepriame výdavky kontrole u prijímateľa podlieha: </w:t>
      </w:r>
    </w:p>
    <w:p w14:paraId="721185C6" w14:textId="77777777" w:rsidR="0095533F" w:rsidRPr="008146B2" w:rsidRDefault="0095533F" w:rsidP="0095533F">
      <w:pPr>
        <w:pStyle w:val="Odsekzoznamu"/>
        <w:numPr>
          <w:ilvl w:val="0"/>
          <w:numId w:val="13"/>
        </w:numPr>
        <w:autoSpaceDE w:val="0"/>
        <w:autoSpaceDN w:val="0"/>
        <w:adjustRightInd w:val="0"/>
        <w:spacing w:after="125" w:line="240" w:lineRule="auto"/>
        <w:jc w:val="both"/>
        <w:rPr>
          <w:rFonts w:eastAsiaTheme="majorEastAsia" w:cstheme="minorHAnsi"/>
        </w:rPr>
      </w:pPr>
      <w:r w:rsidRPr="008146B2">
        <w:rPr>
          <w:rFonts w:eastAsiaTheme="majorEastAsia" w:cstheme="minorHAnsi"/>
        </w:rPr>
        <w:t xml:space="preserve"> oprávnenosť priamych výdavkov projektu (ktoré sú reálne vykázané), </w:t>
      </w:r>
    </w:p>
    <w:p w14:paraId="2545F245" w14:textId="77777777" w:rsidR="0095533F" w:rsidRPr="008146B2" w:rsidRDefault="0095533F" w:rsidP="0095533F">
      <w:pPr>
        <w:pStyle w:val="Odsekzoznamu"/>
        <w:numPr>
          <w:ilvl w:val="0"/>
          <w:numId w:val="13"/>
        </w:numPr>
        <w:autoSpaceDE w:val="0"/>
        <w:autoSpaceDN w:val="0"/>
        <w:adjustRightInd w:val="0"/>
        <w:spacing w:after="125" w:line="240" w:lineRule="auto"/>
        <w:jc w:val="both"/>
        <w:rPr>
          <w:rFonts w:eastAsiaTheme="majorEastAsia" w:cstheme="minorHAnsi"/>
        </w:rPr>
      </w:pPr>
      <w:r w:rsidRPr="008146B2">
        <w:rPr>
          <w:rFonts w:eastAsiaTheme="majorEastAsia" w:cstheme="minorHAnsi"/>
        </w:rPr>
        <w:t xml:space="preserve"> súlad výšky percentuálnej sadzby PS uvedenej vo výzve, Zmluve o poskytnutí nenávratného finančného príspevku (ďalej len „Zmluva o poskytnutí NFP“) a žiadosti o platbu (ďalej len „</w:t>
      </w:r>
      <w:proofErr w:type="spellStart"/>
      <w:r w:rsidRPr="008146B2">
        <w:rPr>
          <w:rFonts w:eastAsiaTheme="majorEastAsia" w:cstheme="minorHAnsi"/>
        </w:rPr>
        <w:t>ŽoP</w:t>
      </w:r>
      <w:proofErr w:type="spellEnd"/>
      <w:r w:rsidRPr="008146B2">
        <w:rPr>
          <w:rFonts w:eastAsiaTheme="majorEastAsia" w:cstheme="minorHAnsi"/>
        </w:rPr>
        <w:t xml:space="preserve">“), </w:t>
      </w:r>
    </w:p>
    <w:p w14:paraId="076C05EE" w14:textId="65D3B272" w:rsidR="0095533F" w:rsidRPr="008146B2" w:rsidRDefault="0095533F" w:rsidP="0095533F">
      <w:pPr>
        <w:pStyle w:val="Odsekzoznamu"/>
        <w:numPr>
          <w:ilvl w:val="0"/>
          <w:numId w:val="13"/>
        </w:numPr>
        <w:autoSpaceDE w:val="0"/>
        <w:autoSpaceDN w:val="0"/>
        <w:adjustRightInd w:val="0"/>
        <w:spacing w:after="0" w:line="240" w:lineRule="auto"/>
        <w:jc w:val="both"/>
        <w:rPr>
          <w:rFonts w:eastAsiaTheme="majorEastAsia" w:cstheme="minorHAnsi"/>
        </w:rPr>
      </w:pPr>
      <w:r w:rsidRPr="008146B2">
        <w:rPr>
          <w:rFonts w:eastAsiaTheme="majorEastAsia" w:cstheme="minorHAnsi"/>
        </w:rPr>
        <w:t>správnosť matematického výpočtu výšky výdavkov pokrytých PS (</w:t>
      </w:r>
      <w:r w:rsidR="00E82C99">
        <w:rPr>
          <w:rFonts w:eastAsiaTheme="majorEastAsia" w:cstheme="minorHAnsi"/>
        </w:rPr>
        <w:t>2</w:t>
      </w:r>
      <w:r w:rsidRPr="008146B2">
        <w:rPr>
          <w:rFonts w:eastAsiaTheme="majorEastAsia" w:cstheme="minorHAnsi"/>
        </w:rPr>
        <w:t xml:space="preserve"> až 7 %). </w:t>
      </w:r>
    </w:p>
    <w:p w14:paraId="562C2C2A" w14:textId="77777777" w:rsidR="0095533F" w:rsidRPr="008146B2" w:rsidRDefault="0095533F" w:rsidP="0095533F">
      <w:pPr>
        <w:autoSpaceDE w:val="0"/>
        <w:autoSpaceDN w:val="0"/>
        <w:adjustRightInd w:val="0"/>
        <w:spacing w:after="0" w:line="240" w:lineRule="auto"/>
        <w:jc w:val="both"/>
        <w:rPr>
          <w:rFonts w:eastAsiaTheme="majorEastAsia" w:cstheme="minorHAnsi"/>
        </w:rPr>
      </w:pPr>
    </w:p>
    <w:p w14:paraId="182DA8A2" w14:textId="77777777" w:rsidR="00182FCA" w:rsidRPr="008146B2" w:rsidRDefault="00182FCA" w:rsidP="00182FCA">
      <w:pPr>
        <w:jc w:val="both"/>
        <w:rPr>
          <w:rFonts w:eastAsiaTheme="majorEastAsia" w:cstheme="minorHAnsi"/>
        </w:rPr>
      </w:pPr>
      <w:r>
        <w:rPr>
          <w:rFonts w:eastAsiaTheme="majorEastAsia" w:cstheme="minorHAnsi"/>
        </w:rPr>
        <w:t>V</w:t>
      </w:r>
      <w:r w:rsidRPr="008146B2">
        <w:rPr>
          <w:rFonts w:eastAsiaTheme="majorEastAsia" w:cstheme="minorHAnsi"/>
        </w:rPr>
        <w:t xml:space="preserve">ýška </w:t>
      </w:r>
      <w:r>
        <w:rPr>
          <w:rFonts w:eastAsiaTheme="majorEastAsia" w:cstheme="minorHAnsi"/>
        </w:rPr>
        <w:t xml:space="preserve">stanovenej </w:t>
      </w:r>
      <w:r w:rsidRPr="008146B2">
        <w:rPr>
          <w:rFonts w:eastAsiaTheme="majorEastAsia" w:cstheme="minorHAnsi"/>
        </w:rPr>
        <w:t xml:space="preserve">percentuálnej sadzby PS </w:t>
      </w:r>
      <w:r>
        <w:rPr>
          <w:rFonts w:eastAsiaTheme="majorEastAsia" w:cstheme="minorHAnsi"/>
        </w:rPr>
        <w:t xml:space="preserve">pre projekt </w:t>
      </w:r>
      <w:r w:rsidRPr="008146B2">
        <w:rPr>
          <w:rFonts w:eastAsiaTheme="majorEastAsia" w:cstheme="minorHAnsi"/>
        </w:rPr>
        <w:t>nemôže byť prekročená ani na úrovni reálneho čerpania prostriedkov v projekte, t. j. výška čerpaných nepriamych výdavkov projektu bude priamo úmerne prispôsobená výške čerpaných priamych výdavkov projektu.</w:t>
      </w:r>
    </w:p>
    <w:p w14:paraId="6B2586A8" w14:textId="1DDF1706" w:rsidR="003236EE" w:rsidRPr="008146B2" w:rsidRDefault="003236EE" w:rsidP="00401177">
      <w:pPr>
        <w:spacing w:after="0"/>
        <w:jc w:val="both"/>
        <w:rPr>
          <w:rFonts w:eastAsiaTheme="majorEastAsia" w:cstheme="minorHAnsi"/>
        </w:rPr>
      </w:pPr>
    </w:p>
    <w:p w14:paraId="355BEA6D" w14:textId="77777777" w:rsidR="00CE09FD" w:rsidRPr="008146B2" w:rsidRDefault="00CE09FD" w:rsidP="00CE09FD">
      <w:pPr>
        <w:rPr>
          <w:rFonts w:eastAsiaTheme="majorEastAsia" w:cstheme="minorHAnsi"/>
          <w:b/>
          <w:bCs/>
          <w:color w:val="2E74B5" w:themeColor="accent1" w:themeShade="BF"/>
          <w:sz w:val="28"/>
          <w:szCs w:val="28"/>
        </w:rPr>
      </w:pPr>
      <w:r w:rsidRPr="008146B2">
        <w:rPr>
          <w:rFonts w:eastAsiaTheme="majorEastAsia" w:cstheme="minorHAnsi"/>
          <w:b/>
          <w:bCs/>
          <w:color w:val="2E74B5" w:themeColor="accent1" w:themeShade="BF"/>
          <w:sz w:val="28"/>
          <w:szCs w:val="28"/>
        </w:rPr>
        <w:t>3.</w:t>
      </w:r>
      <w:r>
        <w:rPr>
          <w:rFonts w:eastAsiaTheme="majorEastAsia" w:cstheme="minorHAnsi"/>
          <w:b/>
          <w:bCs/>
          <w:color w:val="2E74B5" w:themeColor="accent1" w:themeShade="BF"/>
          <w:sz w:val="28"/>
          <w:szCs w:val="28"/>
        </w:rPr>
        <w:t xml:space="preserve"> </w:t>
      </w:r>
      <w:r w:rsidRPr="008146B2">
        <w:rPr>
          <w:rFonts w:eastAsiaTheme="majorEastAsia" w:cstheme="minorHAnsi"/>
          <w:b/>
          <w:bCs/>
          <w:color w:val="2E74B5" w:themeColor="accent1" w:themeShade="BF"/>
          <w:sz w:val="28"/>
          <w:szCs w:val="28"/>
        </w:rPr>
        <w:t>Zoznam skupín oprávnených výdavkov, benchmarky a finančné limity</w:t>
      </w:r>
    </w:p>
    <w:p w14:paraId="223D2287" w14:textId="7BE52E9E" w:rsidR="00CE09FD" w:rsidRPr="008146B2" w:rsidRDefault="00CE09FD" w:rsidP="00CE09FD">
      <w:pPr>
        <w:jc w:val="both"/>
        <w:rPr>
          <w:rFonts w:eastAsiaTheme="majorEastAsia" w:cstheme="minorHAnsi"/>
        </w:rPr>
      </w:pPr>
      <w:r w:rsidRPr="008146B2">
        <w:rPr>
          <w:rFonts w:eastAsiaTheme="majorEastAsia" w:cstheme="minorHAnsi"/>
        </w:rPr>
        <w:t>Poskytovateľ overuje vecnú oprávnenosť výdavkov uvedených v ŽoNFP na základe posúdenia, či žiadané výdavky vecne spadajú do rozsahu oprávnených výdavkov určených v tomto zozname.  Zoznam oprávnených výdavkov obsahuje uzavretý zoznam tried a skupín oprávnených výdavkov a v rámci nich najčastejšie sa vyskytujúce typy oprávnených výdavkov v rámci tejto výzvy v súlade s Číselníkom skupín výdavkov, ktorý tvorí prílohu č. 2 Príručky k OV.</w:t>
      </w:r>
    </w:p>
    <w:p w14:paraId="1E626119" w14:textId="77777777" w:rsidR="00CE09FD" w:rsidRPr="008146B2" w:rsidRDefault="00CE09FD" w:rsidP="00CE09FD">
      <w:pPr>
        <w:jc w:val="both"/>
        <w:rPr>
          <w:rFonts w:eastAsiaTheme="majorEastAsia" w:cstheme="minorHAnsi"/>
        </w:rPr>
      </w:pPr>
      <w:r w:rsidRPr="008146B2">
        <w:rPr>
          <w:rFonts w:eastAsiaTheme="majorEastAsia" w:cstheme="minorHAnsi"/>
        </w:rPr>
        <w:t>Oprávnené výdavky v nižšie uvedených skupinách výdavkov musia spĺňať pravidlá hospodárnosti a dodržiavanie zásady hodnota za peniaze/</w:t>
      </w:r>
      <w:proofErr w:type="spellStart"/>
      <w:r w:rsidRPr="008146B2">
        <w:rPr>
          <w:rFonts w:eastAsiaTheme="majorEastAsia" w:cstheme="minorHAnsi"/>
        </w:rPr>
        <w:t>value</w:t>
      </w:r>
      <w:proofErr w:type="spellEnd"/>
      <w:r w:rsidRPr="008146B2">
        <w:rPr>
          <w:rFonts w:eastAsiaTheme="majorEastAsia" w:cstheme="minorHAnsi"/>
        </w:rPr>
        <w:t xml:space="preserve"> </w:t>
      </w:r>
      <w:proofErr w:type="spellStart"/>
      <w:r w:rsidRPr="008146B2">
        <w:rPr>
          <w:rFonts w:eastAsiaTheme="majorEastAsia" w:cstheme="minorHAnsi"/>
        </w:rPr>
        <w:t>for</w:t>
      </w:r>
      <w:proofErr w:type="spellEnd"/>
      <w:r w:rsidRPr="008146B2">
        <w:rPr>
          <w:rFonts w:eastAsiaTheme="majorEastAsia" w:cstheme="minorHAnsi"/>
        </w:rPr>
        <w:t xml:space="preserve"> </w:t>
      </w:r>
      <w:proofErr w:type="spellStart"/>
      <w:r w:rsidRPr="008146B2">
        <w:rPr>
          <w:rFonts w:eastAsiaTheme="majorEastAsia" w:cstheme="minorHAnsi"/>
        </w:rPr>
        <w:t>money</w:t>
      </w:r>
      <w:proofErr w:type="spellEnd"/>
      <w:r w:rsidRPr="008146B2">
        <w:rPr>
          <w:rFonts w:eastAsiaTheme="majorEastAsia" w:cstheme="minorHAnsi"/>
        </w:rPr>
        <w:t>“.</w:t>
      </w:r>
    </w:p>
    <w:p w14:paraId="3F33BD92" w14:textId="77777777" w:rsidR="00CE09FD" w:rsidRPr="008146B2" w:rsidRDefault="00CE09FD" w:rsidP="00CE09FD">
      <w:pPr>
        <w:jc w:val="both"/>
        <w:rPr>
          <w:rFonts w:eastAsiaTheme="majorEastAsia" w:cstheme="minorHAnsi"/>
        </w:rPr>
      </w:pPr>
      <w:r w:rsidRPr="008146B2">
        <w:rPr>
          <w:rFonts w:eastAsiaTheme="majorEastAsia" w:cstheme="minorHAnsi"/>
        </w:rPr>
        <w:t xml:space="preserve">Celkové oprávnené výdavky na projekty sa uvádzajú v EUR v limitných hodnotách v presnosti na dve desatinné miesta bez zaokrúhľovania. </w:t>
      </w:r>
    </w:p>
    <w:p w14:paraId="3EFC5A70" w14:textId="77777777" w:rsidR="00CE09FD" w:rsidRPr="008146B2" w:rsidRDefault="00CE09FD" w:rsidP="00CE09FD">
      <w:pPr>
        <w:jc w:val="both"/>
        <w:rPr>
          <w:rFonts w:eastAsiaTheme="majorEastAsia" w:cstheme="minorHAnsi"/>
        </w:rPr>
      </w:pPr>
      <w:r w:rsidRPr="008146B2">
        <w:rPr>
          <w:rFonts w:eastAsiaTheme="majorEastAsia" w:cstheme="minorHAnsi"/>
        </w:rPr>
        <w:t>Maximálna výška nenávratného finančného príspevku (ďalej len „NFP“) predstavuje 100 % z celkových oprávnených výdavkov na projekt a financovanie projektu zo strany prijímateľa je vo výške 0 % z celkových oprávnených výdavkov na projekt.</w:t>
      </w:r>
    </w:p>
    <w:p w14:paraId="722650B4" w14:textId="77777777" w:rsidR="00CE09FD" w:rsidRDefault="00CE09FD" w:rsidP="00CE09FD">
      <w:pPr>
        <w:jc w:val="both"/>
        <w:rPr>
          <w:rFonts w:eastAsiaTheme="majorEastAsia" w:cstheme="minorHAnsi"/>
        </w:rPr>
      </w:pPr>
      <w:r w:rsidRPr="008146B2">
        <w:rPr>
          <w:rFonts w:eastAsiaTheme="majorEastAsia" w:cstheme="minorHAnsi"/>
        </w:rPr>
        <w:t xml:space="preserve">SO stanovil všeobecne platné zásady a podmienky pre </w:t>
      </w:r>
      <w:r w:rsidRPr="008146B2">
        <w:rPr>
          <w:rFonts w:eastAsiaTheme="majorEastAsia" w:cstheme="minorHAnsi"/>
          <w:b/>
          <w:bCs/>
        </w:rPr>
        <w:t>uplatňovanie benchmarkov a finančných limitov</w:t>
      </w:r>
      <w:r w:rsidRPr="008146B2">
        <w:rPr>
          <w:rFonts w:eastAsiaTheme="majorEastAsia" w:cstheme="minorHAnsi"/>
        </w:rPr>
        <w:t xml:space="preserve"> ako jedného z nástrojov na overenie hospodárnosti a efektívnosti výdavkov projektu v rámci konania o ŽoNFP. Benchmark stanovuje optimálnu úroveň výdavkov a finančný limit je hornou hraničnou hodnotou oprávnenosti, ktorú SO akceptuje po zohľadnení objektívnych skutočností na prekročenie optimálnej hodnoty benchmarku. </w:t>
      </w:r>
    </w:p>
    <w:p w14:paraId="7E067D84" w14:textId="7C72D80B" w:rsidR="00CE09FD" w:rsidRPr="008146B2" w:rsidRDefault="00CE09FD" w:rsidP="00CE09FD">
      <w:pPr>
        <w:rPr>
          <w:rFonts w:eastAsiaTheme="majorEastAsia" w:cstheme="minorHAnsi"/>
          <w:b/>
          <w:bCs/>
          <w:u w:val="single"/>
        </w:rPr>
      </w:pPr>
      <w:r w:rsidRPr="008146B2">
        <w:rPr>
          <w:rFonts w:eastAsiaTheme="majorEastAsia" w:cstheme="minorHAnsi"/>
          <w:b/>
          <w:bCs/>
          <w:u w:val="single"/>
        </w:rPr>
        <w:t>Spôsob výpočtu celkových oprávnených výdavkov projektu</w:t>
      </w:r>
    </w:p>
    <w:p w14:paraId="5A0A3FC4" w14:textId="1D9FC196" w:rsidR="00CE09FD" w:rsidRPr="008146B2" w:rsidRDefault="00CE09FD" w:rsidP="00CE09FD">
      <w:pPr>
        <w:jc w:val="both"/>
        <w:rPr>
          <w:rFonts w:cstheme="minorHAnsi"/>
        </w:rPr>
      </w:pPr>
      <w:r w:rsidRPr="00A93EB1">
        <w:rPr>
          <w:rFonts w:cstheme="minorHAnsi"/>
        </w:rPr>
        <w:t>Žiadateľ môže realizovať rôzne spôsoby realizácie</w:t>
      </w:r>
      <w:r w:rsidR="00976233" w:rsidRPr="00A93EB1">
        <w:rPr>
          <w:rFonts w:cstheme="minorHAnsi"/>
        </w:rPr>
        <w:t xml:space="preserve">, prípadne </w:t>
      </w:r>
      <w:r w:rsidRPr="00A93EB1">
        <w:rPr>
          <w:rFonts w:cstheme="minorHAnsi"/>
        </w:rPr>
        <w:t xml:space="preserve">ich vzájomné kombinácie v rámci jednotlivých oblastí. </w:t>
      </w:r>
      <w:r w:rsidRPr="00976233">
        <w:rPr>
          <w:rFonts w:cstheme="minorHAnsi"/>
        </w:rPr>
        <w:t>Benchmarky</w:t>
      </w:r>
      <w:r w:rsidRPr="008146B2">
        <w:rPr>
          <w:rFonts w:cstheme="minorHAnsi"/>
        </w:rPr>
        <w:t xml:space="preserve">/finančné limity určujú </w:t>
      </w:r>
      <w:r w:rsidRPr="008146B2">
        <w:rPr>
          <w:rFonts w:cstheme="minorHAnsi"/>
          <w:b/>
          <w:bCs/>
        </w:rPr>
        <w:t>hodnotu stavebných prác s DPH</w:t>
      </w:r>
      <w:r w:rsidRPr="008146B2">
        <w:rPr>
          <w:rFonts w:cstheme="minorHAnsi"/>
        </w:rPr>
        <w:t xml:space="preserve">. </w:t>
      </w:r>
    </w:p>
    <w:p w14:paraId="73727001" w14:textId="056DB7BB" w:rsidR="00182FCA" w:rsidRDefault="00CE09FD" w:rsidP="00182FCA">
      <w:pPr>
        <w:jc w:val="both"/>
        <w:rPr>
          <w:rFonts w:cstheme="minorHAnsi"/>
        </w:rPr>
      </w:pPr>
      <w:r w:rsidRPr="008146B2">
        <w:rPr>
          <w:rFonts w:cstheme="minorHAnsi"/>
        </w:rPr>
        <w:t xml:space="preserve">K </w:t>
      </w:r>
      <w:r w:rsidRPr="008146B2">
        <w:rPr>
          <w:rFonts w:cstheme="minorHAnsi"/>
          <w:i/>
          <w:iCs/>
        </w:rPr>
        <w:t xml:space="preserve">sume </w:t>
      </w:r>
      <w:r w:rsidRPr="008146B2">
        <w:rPr>
          <w:rFonts w:cstheme="minorHAnsi"/>
          <w:b/>
          <w:bCs/>
          <w:i/>
          <w:iCs/>
        </w:rPr>
        <w:t>stavebných prác</w:t>
      </w:r>
      <w:r w:rsidRPr="008146B2">
        <w:rPr>
          <w:rFonts w:cstheme="minorHAnsi"/>
        </w:rPr>
        <w:t xml:space="preserve"> (podľa uvedených benchmarkov/finančných limitov podľa </w:t>
      </w:r>
      <w:r w:rsidRPr="005E3274">
        <w:rPr>
          <w:rFonts w:cstheme="minorHAnsi"/>
        </w:rPr>
        <w:t>tabu</w:t>
      </w:r>
      <w:r w:rsidR="005E3274" w:rsidRPr="005E3274">
        <w:rPr>
          <w:rFonts w:cstheme="minorHAnsi"/>
        </w:rPr>
        <w:t>ľky</w:t>
      </w:r>
      <w:r w:rsidRPr="005E3274">
        <w:rPr>
          <w:rFonts w:cstheme="minorHAnsi"/>
        </w:rPr>
        <w:t xml:space="preserve"> č. 5) </w:t>
      </w:r>
      <w:r w:rsidR="00032379">
        <w:rPr>
          <w:rFonts w:cstheme="minorHAnsi"/>
        </w:rPr>
        <w:t>a </w:t>
      </w:r>
      <w:r w:rsidR="00032379" w:rsidRPr="00A93EB1">
        <w:rPr>
          <w:rFonts w:cstheme="minorHAnsi"/>
          <w:b/>
        </w:rPr>
        <w:t>mzdových výdavkov</w:t>
      </w:r>
      <w:r w:rsidR="00A24D61">
        <w:rPr>
          <w:rFonts w:cstheme="minorHAnsi"/>
          <w:b/>
        </w:rPr>
        <w:t>, resp. ostatných služieb</w:t>
      </w:r>
      <w:r w:rsidR="00032379">
        <w:rPr>
          <w:rFonts w:cstheme="minorHAnsi"/>
        </w:rPr>
        <w:t xml:space="preserve"> </w:t>
      </w:r>
      <w:r w:rsidRPr="005E3274">
        <w:rPr>
          <w:rFonts w:cstheme="minorHAnsi"/>
        </w:rPr>
        <w:t>sa</w:t>
      </w:r>
      <w:r w:rsidRPr="008146B2">
        <w:rPr>
          <w:rFonts w:cstheme="minorHAnsi"/>
        </w:rPr>
        <w:t xml:space="preserve"> pripočítajú príslušné </w:t>
      </w:r>
      <w:r w:rsidRPr="008146B2">
        <w:rPr>
          <w:rFonts w:cstheme="minorHAnsi"/>
          <w:b/>
          <w:bCs/>
          <w:i/>
          <w:iCs/>
        </w:rPr>
        <w:t>Finančné a percentuálne limity</w:t>
      </w:r>
      <w:r w:rsidRPr="008146B2">
        <w:rPr>
          <w:rFonts w:cstheme="minorHAnsi"/>
          <w:b/>
          <w:bCs/>
        </w:rPr>
        <w:t xml:space="preserve"> </w:t>
      </w:r>
      <w:r w:rsidRPr="008146B2">
        <w:rPr>
          <w:rFonts w:cstheme="minorHAnsi"/>
          <w:b/>
          <w:bCs/>
          <w:i/>
          <w:iCs/>
        </w:rPr>
        <w:lastRenderedPageBreak/>
        <w:t>s väzbou na priame výdavky</w:t>
      </w:r>
      <w:r w:rsidRPr="008146B2">
        <w:rPr>
          <w:rFonts w:cstheme="minorHAnsi"/>
        </w:rPr>
        <w:t xml:space="preserve"> uvedené v tabuľkách </w:t>
      </w:r>
      <w:r w:rsidR="00613E84">
        <w:rPr>
          <w:rFonts w:cstheme="minorHAnsi"/>
        </w:rPr>
        <w:t>nižšie (tabuľky č. 2, 3</w:t>
      </w:r>
      <w:r w:rsidR="00182FCA">
        <w:rPr>
          <w:rFonts w:cstheme="minorHAnsi"/>
        </w:rPr>
        <w:t xml:space="preserve">, 4) </w:t>
      </w:r>
      <w:r w:rsidR="00182FCA" w:rsidRPr="008146B2">
        <w:rPr>
          <w:rFonts w:cstheme="minorHAnsi"/>
        </w:rPr>
        <w:t>a </w:t>
      </w:r>
      <w:r w:rsidR="00182FCA" w:rsidRPr="008146B2">
        <w:rPr>
          <w:rFonts w:cstheme="minorHAnsi"/>
          <w:b/>
          <w:bCs/>
          <w:i/>
          <w:iCs/>
        </w:rPr>
        <w:t>Paušálnej sadzby</w:t>
      </w:r>
      <w:r w:rsidR="00182FCA" w:rsidRPr="008146B2">
        <w:rPr>
          <w:rFonts w:cstheme="minorHAnsi"/>
        </w:rPr>
        <w:t xml:space="preserve"> podľa </w:t>
      </w:r>
      <w:r w:rsidR="00182FCA">
        <w:rPr>
          <w:rFonts w:cstheme="minorHAnsi"/>
        </w:rPr>
        <w:t>T</w:t>
      </w:r>
      <w:r w:rsidR="00182FCA" w:rsidRPr="008146B2">
        <w:rPr>
          <w:rFonts w:cstheme="minorHAnsi"/>
        </w:rPr>
        <w:t xml:space="preserve">abuľky č. 1. </w:t>
      </w:r>
    </w:p>
    <w:p w14:paraId="02A015B4" w14:textId="77777777" w:rsidR="00CE09FD" w:rsidRDefault="00CE09FD" w:rsidP="00CE09FD">
      <w:pPr>
        <w:jc w:val="both"/>
        <w:rPr>
          <w:rFonts w:cstheme="minorHAnsi"/>
          <w:u w:val="single"/>
        </w:rPr>
      </w:pPr>
      <w:r w:rsidRPr="008146B2">
        <w:rPr>
          <w:rFonts w:cstheme="minorHAnsi"/>
          <w:b/>
          <w:bCs/>
          <w:u w:val="single"/>
        </w:rPr>
        <w:t>Súčet týchto súm predstavuje celkové oprávnené výdavky projektu.</w:t>
      </w:r>
      <w:r w:rsidRPr="008146B2">
        <w:rPr>
          <w:rFonts w:cstheme="minorHAnsi"/>
          <w:u w:val="single"/>
        </w:rPr>
        <w:t xml:space="preserve"> </w:t>
      </w:r>
    </w:p>
    <w:p w14:paraId="488A35B7" w14:textId="096F3E4E" w:rsidR="00CE09FD" w:rsidRDefault="00CE09FD" w:rsidP="00CE09FD">
      <w:pPr>
        <w:jc w:val="both"/>
        <w:rPr>
          <w:rFonts w:cstheme="minorHAnsi"/>
        </w:rPr>
      </w:pPr>
      <w:r w:rsidRPr="008146B2">
        <w:rPr>
          <w:rFonts w:cstheme="minorHAnsi"/>
        </w:rPr>
        <w:t xml:space="preserve">Po prekročení výšky benchmarku z objektívnych príčin (napr. zo stavebno-technických, technologických, geotechnických, prírodných, časových alebo iných dôvodov) je </w:t>
      </w:r>
      <w:r w:rsidRPr="008146B2">
        <w:rPr>
          <w:rFonts w:cstheme="minorHAnsi"/>
          <w:b/>
          <w:bCs/>
        </w:rPr>
        <w:t xml:space="preserve">žiadateľ povinný zdôvodniť </w:t>
      </w:r>
      <w:r w:rsidRPr="008146B2">
        <w:rPr>
          <w:rFonts w:cstheme="minorHAnsi"/>
        </w:rPr>
        <w:t xml:space="preserve">jeho prekročenie, pričom hodnota nesmie byť vyššia ako hodnota finančného limitu. Po odsúhlasení týchto objektívnych príčin zo strany SO, je možné uznať tieto výdavky </w:t>
      </w:r>
      <w:r w:rsidR="00C13453">
        <w:rPr>
          <w:rFonts w:cstheme="minorHAnsi"/>
        </w:rPr>
        <w:t>z</w:t>
      </w:r>
      <w:r w:rsidRPr="008146B2">
        <w:rPr>
          <w:rFonts w:cstheme="minorHAnsi"/>
        </w:rPr>
        <w:t>a oprávnené, ale len do výšky finančného limitu. Uvádzané benchmarky a finančné limity určujú hodnotu stavebných prác a sú uvádzané s DPH</w:t>
      </w:r>
      <w:r w:rsidRPr="008146B2">
        <w:rPr>
          <w:rStyle w:val="Odkaznapoznmkupodiarou"/>
          <w:rFonts w:cstheme="minorHAnsi"/>
        </w:rPr>
        <w:footnoteReference w:id="2"/>
      </w:r>
      <w:r w:rsidRPr="008146B2">
        <w:rPr>
          <w:rFonts w:cstheme="minorHAnsi"/>
        </w:rPr>
        <w:t>.</w:t>
      </w:r>
    </w:p>
    <w:p w14:paraId="7D97B161" w14:textId="5A1697C1" w:rsidR="00CE09FD" w:rsidRPr="008146B2" w:rsidRDefault="00CE09FD" w:rsidP="00CE09FD">
      <w:pPr>
        <w:rPr>
          <w:rFonts w:cstheme="minorHAnsi"/>
          <w:b/>
          <w:bCs/>
        </w:rPr>
      </w:pPr>
      <w:r w:rsidRPr="008146B2">
        <w:rPr>
          <w:rFonts w:cstheme="minorHAnsi"/>
          <w:b/>
          <w:bCs/>
          <w:u w:val="single"/>
        </w:rPr>
        <w:t>Finančné a percentuálne limity</w:t>
      </w:r>
      <w:r w:rsidRPr="008146B2">
        <w:rPr>
          <w:rStyle w:val="Odkaznapoznmkupodiarou"/>
          <w:rFonts w:cstheme="minorHAnsi"/>
          <w:b/>
          <w:bCs/>
          <w:u w:val="single"/>
        </w:rPr>
        <w:footnoteReference w:id="3"/>
      </w:r>
      <w:r w:rsidRPr="008146B2">
        <w:rPr>
          <w:rFonts w:cstheme="minorHAnsi"/>
          <w:b/>
          <w:bCs/>
          <w:u w:val="single"/>
        </w:rPr>
        <w:t xml:space="preserve"> s väzbou na priame výdavky</w:t>
      </w:r>
      <w:r w:rsidRPr="008146B2">
        <w:rPr>
          <w:rStyle w:val="Odkaznapoznmkupodiarou"/>
          <w:rFonts w:cstheme="minorHAnsi"/>
          <w:b/>
          <w:bCs/>
          <w:u w:val="single"/>
        </w:rPr>
        <w:footnoteReference w:id="4"/>
      </w:r>
      <w:r w:rsidRPr="008146B2">
        <w:rPr>
          <w:rFonts w:cstheme="minorHAnsi"/>
          <w:b/>
          <w:bCs/>
          <w:u w:val="single"/>
        </w:rPr>
        <w:t xml:space="preserve"> (hlavné aktivity projektu)</w:t>
      </w:r>
    </w:p>
    <w:p w14:paraId="3F7CC283" w14:textId="5E40D230" w:rsidR="00CE09FD" w:rsidRDefault="00CE09FD" w:rsidP="00401177">
      <w:pPr>
        <w:pStyle w:val="Popis"/>
        <w:keepNext/>
        <w:spacing w:after="0"/>
      </w:pPr>
      <w:r>
        <w:t xml:space="preserve">Tabuľka </w:t>
      </w:r>
      <w:r w:rsidR="00182FCA">
        <w:t>2</w:t>
      </w:r>
    </w:p>
    <w:tbl>
      <w:tblPr>
        <w:tblStyle w:val="Mriekatabuky"/>
        <w:tblW w:w="9493" w:type="dxa"/>
        <w:tblLook w:val="04A0" w:firstRow="1" w:lastRow="0" w:firstColumn="1" w:lastColumn="0" w:noHBand="0" w:noVBand="1"/>
      </w:tblPr>
      <w:tblGrid>
        <w:gridCol w:w="4390"/>
        <w:gridCol w:w="5103"/>
      </w:tblGrid>
      <w:tr w:rsidR="00CE09FD" w:rsidRPr="0054336F" w14:paraId="2743C7C4" w14:textId="77777777" w:rsidTr="00CF6C88">
        <w:tc>
          <w:tcPr>
            <w:tcW w:w="4390" w:type="dxa"/>
            <w:shd w:val="clear" w:color="auto" w:fill="DEEAF6" w:themeFill="accent1" w:themeFillTint="33"/>
          </w:tcPr>
          <w:p w14:paraId="303EE133" w14:textId="77777777" w:rsidR="00CE09FD" w:rsidRPr="0054336F" w:rsidRDefault="00CE09FD" w:rsidP="00CF6C88">
            <w:pPr>
              <w:rPr>
                <w:rFonts w:cstheme="minorHAnsi"/>
                <w:b/>
                <w:bCs/>
                <w:u w:val="single"/>
              </w:rPr>
            </w:pPr>
            <w:r w:rsidRPr="0054336F">
              <w:rPr>
                <w:rFonts w:cstheme="minorHAnsi"/>
                <w:b/>
                <w:bCs/>
              </w:rPr>
              <w:t xml:space="preserve">Oprávnený výdavok </w:t>
            </w:r>
          </w:p>
        </w:tc>
        <w:tc>
          <w:tcPr>
            <w:tcW w:w="5103" w:type="dxa"/>
            <w:shd w:val="clear" w:color="auto" w:fill="DEEAF6" w:themeFill="accent1" w:themeFillTint="33"/>
          </w:tcPr>
          <w:p w14:paraId="7752318C" w14:textId="77777777" w:rsidR="00CE09FD" w:rsidRPr="0054336F" w:rsidRDefault="00CE09FD" w:rsidP="00CF6C88">
            <w:pPr>
              <w:rPr>
                <w:rFonts w:cstheme="minorHAnsi"/>
                <w:b/>
                <w:bCs/>
                <w:u w:val="single"/>
              </w:rPr>
            </w:pPr>
            <w:r w:rsidRPr="0054336F">
              <w:rPr>
                <w:rFonts w:cstheme="minorHAnsi"/>
                <w:b/>
                <w:bCs/>
              </w:rPr>
              <w:t>Percentuálny limit</w:t>
            </w:r>
          </w:p>
        </w:tc>
      </w:tr>
      <w:tr w:rsidR="00CE09FD" w:rsidRPr="0054336F" w14:paraId="1511CD25" w14:textId="77777777" w:rsidTr="00CF6C88">
        <w:trPr>
          <w:trHeight w:val="70"/>
        </w:trPr>
        <w:tc>
          <w:tcPr>
            <w:tcW w:w="4390" w:type="dxa"/>
            <w:shd w:val="clear" w:color="auto" w:fill="BDD6EE" w:themeFill="accent1" w:themeFillTint="66"/>
          </w:tcPr>
          <w:p w14:paraId="6E536013" w14:textId="77777777" w:rsidR="00CE09FD" w:rsidRPr="0054336F" w:rsidRDefault="00CE09FD" w:rsidP="00CF6C88">
            <w:pPr>
              <w:rPr>
                <w:rFonts w:cstheme="minorHAnsi"/>
                <w:b/>
                <w:bCs/>
              </w:rPr>
            </w:pPr>
            <w:r w:rsidRPr="0054336F">
              <w:rPr>
                <w:rFonts w:cstheme="minorHAnsi"/>
                <w:b/>
                <w:bCs/>
              </w:rPr>
              <w:t>Rezerva na nepredvídané výdavky súvisiace so stavebnými prácami</w:t>
            </w:r>
          </w:p>
        </w:tc>
        <w:tc>
          <w:tcPr>
            <w:tcW w:w="5103" w:type="dxa"/>
          </w:tcPr>
          <w:p w14:paraId="0F99A9BF" w14:textId="5A33B53A" w:rsidR="00CE09FD" w:rsidRPr="0054336F" w:rsidRDefault="00CE09FD" w:rsidP="00CF6C88">
            <w:pPr>
              <w:jc w:val="center"/>
              <w:rPr>
                <w:rFonts w:cstheme="minorHAnsi"/>
              </w:rPr>
            </w:pPr>
            <w:r w:rsidRPr="0054336F">
              <w:rPr>
                <w:rFonts w:cstheme="minorHAnsi"/>
              </w:rPr>
              <w:t xml:space="preserve">max. </w:t>
            </w:r>
            <w:r w:rsidRPr="00B95EA9">
              <w:rPr>
                <w:rFonts w:cstheme="minorHAnsi"/>
                <w:b/>
                <w:bCs/>
              </w:rPr>
              <w:t>5 %</w:t>
            </w:r>
            <w:r w:rsidRPr="00B95EA9">
              <w:rPr>
                <w:rFonts w:cstheme="minorHAnsi"/>
              </w:rPr>
              <w:t xml:space="preserve"> </w:t>
            </w:r>
            <w:r w:rsidRPr="0054336F">
              <w:rPr>
                <w:rFonts w:cstheme="minorHAnsi"/>
              </w:rPr>
              <w:t xml:space="preserve">z celkových oprávnených výdavkov na stavebné práce </w:t>
            </w:r>
          </w:p>
        </w:tc>
      </w:tr>
    </w:tbl>
    <w:p w14:paraId="66F7C63A" w14:textId="03FD74D9" w:rsidR="00CE09FD" w:rsidRPr="008B77CA" w:rsidRDefault="00CE09FD" w:rsidP="00401177">
      <w:pPr>
        <w:pStyle w:val="Popis"/>
        <w:keepNext/>
        <w:spacing w:after="0"/>
        <w:rPr>
          <w:rFonts w:cstheme="minorHAnsi"/>
          <w:sz w:val="20"/>
          <w:szCs w:val="20"/>
        </w:rPr>
      </w:pPr>
      <w:r w:rsidRPr="0054336F">
        <w:rPr>
          <w:rFonts w:cstheme="minorHAnsi"/>
        </w:rPr>
        <w:br/>
      </w:r>
      <w:r w:rsidRPr="00752EAC">
        <w:rPr>
          <w:rFonts w:cstheme="minorHAnsi"/>
          <w:sz w:val="20"/>
          <w:szCs w:val="20"/>
        </w:rPr>
        <w:t xml:space="preserve">Tabuľka </w:t>
      </w:r>
      <w:r w:rsidR="00182FCA">
        <w:rPr>
          <w:rFonts w:cstheme="minorHAnsi"/>
          <w:sz w:val="20"/>
          <w:szCs w:val="20"/>
        </w:rPr>
        <w:t>3</w:t>
      </w:r>
    </w:p>
    <w:tbl>
      <w:tblPr>
        <w:tblStyle w:val="Mriekatabuky"/>
        <w:tblW w:w="9493" w:type="dxa"/>
        <w:tblLook w:val="04A0" w:firstRow="1" w:lastRow="0" w:firstColumn="1" w:lastColumn="0" w:noHBand="0" w:noVBand="1"/>
      </w:tblPr>
      <w:tblGrid>
        <w:gridCol w:w="2265"/>
        <w:gridCol w:w="2265"/>
        <w:gridCol w:w="2266"/>
        <w:gridCol w:w="2697"/>
      </w:tblGrid>
      <w:tr w:rsidR="00CE09FD" w:rsidRPr="0054336F" w14:paraId="250B0B70" w14:textId="77777777" w:rsidTr="002B4EC2">
        <w:tc>
          <w:tcPr>
            <w:tcW w:w="2265" w:type="dxa"/>
            <w:shd w:val="clear" w:color="auto" w:fill="DEEAF6" w:themeFill="accent1" w:themeFillTint="33"/>
            <w:vAlign w:val="center"/>
          </w:tcPr>
          <w:p w14:paraId="4A7C8B57" w14:textId="77777777" w:rsidR="00CE09FD" w:rsidRPr="0054336F" w:rsidRDefault="00CE09FD" w:rsidP="002B4EC2">
            <w:pPr>
              <w:rPr>
                <w:rFonts w:cstheme="minorHAnsi"/>
                <w:b/>
                <w:bCs/>
                <w:u w:val="single"/>
              </w:rPr>
            </w:pPr>
            <w:r w:rsidRPr="0054336F">
              <w:rPr>
                <w:rFonts w:cstheme="minorHAnsi"/>
                <w:b/>
                <w:bCs/>
              </w:rPr>
              <w:t>Oprávnený výdavok</w:t>
            </w:r>
          </w:p>
        </w:tc>
        <w:tc>
          <w:tcPr>
            <w:tcW w:w="4531" w:type="dxa"/>
            <w:gridSpan w:val="2"/>
            <w:shd w:val="clear" w:color="auto" w:fill="DEEAF6" w:themeFill="accent1" w:themeFillTint="33"/>
            <w:vAlign w:val="center"/>
          </w:tcPr>
          <w:p w14:paraId="26FA7481" w14:textId="77777777" w:rsidR="00CE09FD" w:rsidRPr="0054336F" w:rsidRDefault="00CE09FD" w:rsidP="002B4EC2">
            <w:pPr>
              <w:jc w:val="center"/>
              <w:rPr>
                <w:rFonts w:cstheme="minorHAnsi"/>
                <w:b/>
                <w:bCs/>
              </w:rPr>
            </w:pPr>
            <w:r w:rsidRPr="0054336F">
              <w:rPr>
                <w:rFonts w:cstheme="minorHAnsi"/>
                <w:b/>
                <w:bCs/>
              </w:rPr>
              <w:t>Oprávnené výdavky na stavebné práce</w:t>
            </w:r>
          </w:p>
          <w:p w14:paraId="715441EA" w14:textId="77777777" w:rsidR="00CE09FD" w:rsidRPr="0054336F" w:rsidRDefault="00CE09FD" w:rsidP="002B4EC2">
            <w:pPr>
              <w:jc w:val="center"/>
              <w:rPr>
                <w:rFonts w:cstheme="minorHAnsi"/>
                <w:b/>
                <w:bCs/>
                <w:u w:val="single"/>
              </w:rPr>
            </w:pPr>
            <w:r w:rsidRPr="0054336F">
              <w:rPr>
                <w:rFonts w:cstheme="minorHAnsi"/>
                <w:b/>
                <w:bCs/>
              </w:rPr>
              <w:t>(v EUR bez DPH)</w:t>
            </w:r>
          </w:p>
        </w:tc>
        <w:tc>
          <w:tcPr>
            <w:tcW w:w="2697" w:type="dxa"/>
            <w:vMerge w:val="restart"/>
            <w:tcBorders>
              <w:bottom w:val="single" w:sz="4" w:space="0" w:color="auto"/>
            </w:tcBorders>
            <w:shd w:val="clear" w:color="auto" w:fill="DEEAF6" w:themeFill="accent1" w:themeFillTint="33"/>
            <w:vAlign w:val="center"/>
          </w:tcPr>
          <w:p w14:paraId="4CC7B8D8" w14:textId="77777777" w:rsidR="00CE09FD" w:rsidRPr="0054336F" w:rsidRDefault="00CE09FD" w:rsidP="002B4EC2">
            <w:pPr>
              <w:shd w:val="clear" w:color="auto" w:fill="DEEAF6" w:themeFill="accent1" w:themeFillTint="33"/>
              <w:jc w:val="center"/>
              <w:rPr>
                <w:rFonts w:cstheme="minorHAnsi"/>
                <w:b/>
                <w:bCs/>
                <w:u w:val="single"/>
              </w:rPr>
            </w:pPr>
            <w:r w:rsidRPr="0054336F">
              <w:rPr>
                <w:rFonts w:cstheme="minorHAnsi"/>
                <w:b/>
                <w:bCs/>
              </w:rPr>
              <w:t>Percentuálny limit</w:t>
            </w:r>
            <w:r w:rsidRPr="0054336F">
              <w:rPr>
                <w:rStyle w:val="Odkaznapoznmkupodiarou"/>
                <w:rFonts w:cstheme="minorHAnsi"/>
                <w:b/>
                <w:bCs/>
              </w:rPr>
              <w:footnoteReference w:id="5"/>
            </w:r>
          </w:p>
        </w:tc>
      </w:tr>
      <w:tr w:rsidR="00CE09FD" w:rsidRPr="0054336F" w14:paraId="0B4F153B" w14:textId="77777777" w:rsidTr="00CF6C88">
        <w:tc>
          <w:tcPr>
            <w:tcW w:w="2265" w:type="dxa"/>
            <w:shd w:val="clear" w:color="auto" w:fill="DEEAF6" w:themeFill="accent1" w:themeFillTint="33"/>
          </w:tcPr>
          <w:p w14:paraId="33C2A0C7" w14:textId="77777777" w:rsidR="00CE09FD" w:rsidRPr="0054336F" w:rsidRDefault="00CE09FD" w:rsidP="00CF6C88">
            <w:pPr>
              <w:rPr>
                <w:rFonts w:cstheme="minorHAnsi"/>
                <w:b/>
                <w:bCs/>
                <w:u w:val="single"/>
              </w:rPr>
            </w:pPr>
          </w:p>
        </w:tc>
        <w:tc>
          <w:tcPr>
            <w:tcW w:w="2265" w:type="dxa"/>
            <w:shd w:val="clear" w:color="auto" w:fill="DEEAF6" w:themeFill="accent1" w:themeFillTint="33"/>
          </w:tcPr>
          <w:p w14:paraId="4C9ECB02" w14:textId="77777777" w:rsidR="00CE09FD" w:rsidRPr="0054336F" w:rsidRDefault="00CE09FD" w:rsidP="00CF6C88">
            <w:pPr>
              <w:jc w:val="center"/>
              <w:rPr>
                <w:rFonts w:cstheme="minorHAnsi"/>
              </w:rPr>
            </w:pPr>
            <w:r w:rsidRPr="0054336F">
              <w:rPr>
                <w:rFonts w:cstheme="minorHAnsi"/>
              </w:rPr>
              <w:t>od</w:t>
            </w:r>
          </w:p>
        </w:tc>
        <w:tc>
          <w:tcPr>
            <w:tcW w:w="2266" w:type="dxa"/>
            <w:shd w:val="clear" w:color="auto" w:fill="DEEAF6" w:themeFill="accent1" w:themeFillTint="33"/>
          </w:tcPr>
          <w:p w14:paraId="02DEE7F8" w14:textId="77777777" w:rsidR="00CE09FD" w:rsidRPr="0054336F" w:rsidRDefault="00CE09FD" w:rsidP="00CF6C88">
            <w:pPr>
              <w:jc w:val="center"/>
              <w:rPr>
                <w:rFonts w:cstheme="minorHAnsi"/>
              </w:rPr>
            </w:pPr>
            <w:r w:rsidRPr="0054336F">
              <w:rPr>
                <w:rFonts w:cstheme="minorHAnsi"/>
              </w:rPr>
              <w:t>do</w:t>
            </w:r>
          </w:p>
        </w:tc>
        <w:tc>
          <w:tcPr>
            <w:tcW w:w="2697" w:type="dxa"/>
            <w:vMerge/>
            <w:tcBorders>
              <w:bottom w:val="single" w:sz="4" w:space="0" w:color="auto"/>
            </w:tcBorders>
            <w:shd w:val="clear" w:color="auto" w:fill="DEEAF6" w:themeFill="accent1" w:themeFillTint="33"/>
          </w:tcPr>
          <w:p w14:paraId="3C75B936" w14:textId="77777777" w:rsidR="00CE09FD" w:rsidRPr="0054336F" w:rsidRDefault="00CE09FD" w:rsidP="00CF6C88">
            <w:pPr>
              <w:rPr>
                <w:rFonts w:cstheme="minorHAnsi"/>
                <w:b/>
                <w:bCs/>
                <w:u w:val="single"/>
              </w:rPr>
            </w:pPr>
          </w:p>
        </w:tc>
      </w:tr>
      <w:tr w:rsidR="00CE09FD" w:rsidRPr="0054336F" w14:paraId="62DB31D8" w14:textId="77777777" w:rsidTr="00CF6C88">
        <w:tc>
          <w:tcPr>
            <w:tcW w:w="2265" w:type="dxa"/>
            <w:vMerge w:val="restart"/>
            <w:shd w:val="clear" w:color="auto" w:fill="BDD6EE" w:themeFill="accent1" w:themeFillTint="66"/>
          </w:tcPr>
          <w:p w14:paraId="73EE1CEC" w14:textId="77777777" w:rsidR="00CE09FD" w:rsidRPr="0054336F" w:rsidRDefault="00CE09FD" w:rsidP="00CF6C88">
            <w:pPr>
              <w:rPr>
                <w:rFonts w:cstheme="minorHAnsi"/>
                <w:b/>
                <w:bCs/>
              </w:rPr>
            </w:pPr>
          </w:p>
          <w:p w14:paraId="10D8752F" w14:textId="77777777" w:rsidR="00CE09FD" w:rsidRPr="0054336F" w:rsidRDefault="00CE09FD" w:rsidP="00CF6C88">
            <w:pPr>
              <w:shd w:val="clear" w:color="auto" w:fill="BDD6EE" w:themeFill="accent1" w:themeFillTint="66"/>
              <w:rPr>
                <w:rFonts w:cstheme="minorHAnsi"/>
                <w:b/>
                <w:bCs/>
              </w:rPr>
            </w:pPr>
          </w:p>
          <w:p w14:paraId="5B1451D5" w14:textId="77777777" w:rsidR="00CE09FD" w:rsidRPr="0054336F" w:rsidRDefault="00CE09FD" w:rsidP="00CF6C88">
            <w:pPr>
              <w:shd w:val="clear" w:color="auto" w:fill="BDD6EE" w:themeFill="accent1" w:themeFillTint="66"/>
              <w:rPr>
                <w:rFonts w:cstheme="minorHAnsi"/>
                <w:b/>
                <w:bCs/>
              </w:rPr>
            </w:pPr>
            <w:r w:rsidRPr="0054336F">
              <w:rPr>
                <w:rFonts w:cstheme="minorHAnsi"/>
                <w:b/>
                <w:bCs/>
              </w:rPr>
              <w:t>Stavebný dozor</w:t>
            </w:r>
          </w:p>
        </w:tc>
        <w:tc>
          <w:tcPr>
            <w:tcW w:w="2265" w:type="dxa"/>
          </w:tcPr>
          <w:p w14:paraId="35943657" w14:textId="77777777" w:rsidR="00CE09FD" w:rsidRPr="0054336F" w:rsidRDefault="00CE09FD" w:rsidP="00CF6C88">
            <w:pPr>
              <w:jc w:val="right"/>
              <w:rPr>
                <w:rFonts w:cstheme="minorHAnsi"/>
                <w:b/>
                <w:bCs/>
                <w:u w:val="single"/>
              </w:rPr>
            </w:pPr>
            <w:r w:rsidRPr="0054336F">
              <w:rPr>
                <w:rFonts w:cstheme="minorHAnsi"/>
              </w:rPr>
              <w:t>0,00</w:t>
            </w:r>
          </w:p>
        </w:tc>
        <w:tc>
          <w:tcPr>
            <w:tcW w:w="2266" w:type="dxa"/>
          </w:tcPr>
          <w:p w14:paraId="11F578E8" w14:textId="77777777" w:rsidR="00CE09FD" w:rsidRPr="0054336F" w:rsidRDefault="00CE09FD" w:rsidP="00CF6C88">
            <w:pPr>
              <w:jc w:val="right"/>
              <w:rPr>
                <w:rFonts w:cstheme="minorHAnsi"/>
                <w:b/>
                <w:bCs/>
                <w:u w:val="single"/>
              </w:rPr>
            </w:pPr>
            <w:r>
              <w:rPr>
                <w:rFonts w:cstheme="minorHAnsi"/>
              </w:rPr>
              <w:t>1</w:t>
            </w:r>
            <w:r w:rsidRPr="0054336F">
              <w:rPr>
                <w:rFonts w:cstheme="minorHAnsi"/>
              </w:rPr>
              <w:t>49 999,99</w:t>
            </w:r>
          </w:p>
        </w:tc>
        <w:tc>
          <w:tcPr>
            <w:tcW w:w="2697" w:type="dxa"/>
            <w:tcBorders>
              <w:top w:val="single" w:sz="4" w:space="0" w:color="auto"/>
            </w:tcBorders>
          </w:tcPr>
          <w:p w14:paraId="112C12D5" w14:textId="77777777" w:rsidR="00CE09FD" w:rsidRPr="0054336F" w:rsidRDefault="00CE09FD" w:rsidP="00CF6C88">
            <w:pPr>
              <w:jc w:val="center"/>
              <w:rPr>
                <w:rFonts w:cstheme="minorHAnsi"/>
              </w:rPr>
            </w:pPr>
            <w:r>
              <w:rPr>
                <w:rFonts w:cstheme="minorHAnsi"/>
              </w:rPr>
              <w:t>2,20</w:t>
            </w:r>
          </w:p>
        </w:tc>
      </w:tr>
      <w:tr w:rsidR="00CE09FD" w:rsidRPr="0054336F" w14:paraId="240AF89A" w14:textId="77777777" w:rsidTr="00CF6C88">
        <w:tc>
          <w:tcPr>
            <w:tcW w:w="2265" w:type="dxa"/>
            <w:vMerge/>
            <w:shd w:val="clear" w:color="auto" w:fill="BDD6EE" w:themeFill="accent1" w:themeFillTint="66"/>
          </w:tcPr>
          <w:p w14:paraId="0E141BB7" w14:textId="77777777" w:rsidR="00CE09FD" w:rsidRPr="0054336F" w:rsidRDefault="00CE09FD" w:rsidP="00CF6C88">
            <w:pPr>
              <w:rPr>
                <w:rFonts w:cstheme="minorHAnsi"/>
                <w:b/>
                <w:bCs/>
                <w:u w:val="single"/>
              </w:rPr>
            </w:pPr>
          </w:p>
        </w:tc>
        <w:tc>
          <w:tcPr>
            <w:tcW w:w="2265" w:type="dxa"/>
          </w:tcPr>
          <w:p w14:paraId="3477F2B4" w14:textId="77777777" w:rsidR="00CE09FD" w:rsidRPr="0054336F" w:rsidRDefault="00CE09FD" w:rsidP="00CF6C88">
            <w:pPr>
              <w:jc w:val="right"/>
              <w:rPr>
                <w:rFonts w:cstheme="minorHAnsi"/>
                <w:b/>
                <w:bCs/>
                <w:u w:val="single"/>
              </w:rPr>
            </w:pPr>
            <w:r>
              <w:rPr>
                <w:rFonts w:cstheme="minorHAnsi"/>
              </w:rPr>
              <w:t>1</w:t>
            </w:r>
            <w:r w:rsidRPr="0054336F">
              <w:rPr>
                <w:rFonts w:cstheme="minorHAnsi"/>
              </w:rPr>
              <w:t>50 000,00</w:t>
            </w:r>
          </w:p>
        </w:tc>
        <w:tc>
          <w:tcPr>
            <w:tcW w:w="2266" w:type="dxa"/>
          </w:tcPr>
          <w:p w14:paraId="78A6B835" w14:textId="77777777" w:rsidR="00CE09FD" w:rsidRPr="0054336F" w:rsidRDefault="00CE09FD" w:rsidP="00CF6C88">
            <w:pPr>
              <w:jc w:val="right"/>
              <w:rPr>
                <w:rFonts w:cstheme="minorHAnsi"/>
                <w:b/>
                <w:bCs/>
                <w:u w:val="single"/>
              </w:rPr>
            </w:pPr>
            <w:r>
              <w:rPr>
                <w:rFonts w:cstheme="minorHAnsi"/>
              </w:rPr>
              <w:t>2</w:t>
            </w:r>
            <w:r w:rsidRPr="0054336F">
              <w:rPr>
                <w:rFonts w:cstheme="minorHAnsi"/>
              </w:rPr>
              <w:t>49 999,99</w:t>
            </w:r>
          </w:p>
        </w:tc>
        <w:tc>
          <w:tcPr>
            <w:tcW w:w="2697" w:type="dxa"/>
          </w:tcPr>
          <w:p w14:paraId="2EF5BAC6" w14:textId="77777777" w:rsidR="00CE09FD" w:rsidRPr="0054336F" w:rsidRDefault="00CE09FD" w:rsidP="00CF6C88">
            <w:pPr>
              <w:jc w:val="center"/>
              <w:rPr>
                <w:rFonts w:cstheme="minorHAnsi"/>
              </w:rPr>
            </w:pPr>
            <w:r>
              <w:rPr>
                <w:rFonts w:cstheme="minorHAnsi"/>
              </w:rPr>
              <w:t>1</w:t>
            </w:r>
            <w:r w:rsidRPr="0054336F">
              <w:rPr>
                <w:rFonts w:cstheme="minorHAnsi"/>
              </w:rPr>
              <w:t>,9</w:t>
            </w:r>
            <w:r>
              <w:rPr>
                <w:rFonts w:cstheme="minorHAnsi"/>
              </w:rPr>
              <w:t>5</w:t>
            </w:r>
          </w:p>
        </w:tc>
      </w:tr>
      <w:tr w:rsidR="00CE09FD" w:rsidRPr="0054336F" w14:paraId="67CEE94D" w14:textId="77777777" w:rsidTr="00CF6C88">
        <w:tc>
          <w:tcPr>
            <w:tcW w:w="2265" w:type="dxa"/>
            <w:vMerge/>
            <w:shd w:val="clear" w:color="auto" w:fill="BDD6EE" w:themeFill="accent1" w:themeFillTint="66"/>
          </w:tcPr>
          <w:p w14:paraId="53EFE809" w14:textId="77777777" w:rsidR="00CE09FD" w:rsidRPr="0054336F" w:rsidRDefault="00CE09FD" w:rsidP="00CF6C88">
            <w:pPr>
              <w:rPr>
                <w:rFonts w:cstheme="minorHAnsi"/>
                <w:b/>
                <w:bCs/>
                <w:u w:val="single"/>
              </w:rPr>
            </w:pPr>
          </w:p>
        </w:tc>
        <w:tc>
          <w:tcPr>
            <w:tcW w:w="2265" w:type="dxa"/>
          </w:tcPr>
          <w:p w14:paraId="35A59509" w14:textId="77777777" w:rsidR="00CE09FD" w:rsidRPr="0054336F" w:rsidRDefault="00CE09FD" w:rsidP="00CF6C88">
            <w:pPr>
              <w:jc w:val="right"/>
              <w:rPr>
                <w:rFonts w:cstheme="minorHAnsi"/>
                <w:b/>
                <w:bCs/>
                <w:u w:val="single"/>
              </w:rPr>
            </w:pPr>
            <w:r>
              <w:rPr>
                <w:rFonts w:cstheme="minorHAnsi"/>
              </w:rPr>
              <w:t>2</w:t>
            </w:r>
            <w:r w:rsidRPr="0054336F">
              <w:rPr>
                <w:rFonts w:cstheme="minorHAnsi"/>
              </w:rPr>
              <w:t>50 000,00</w:t>
            </w:r>
          </w:p>
        </w:tc>
        <w:tc>
          <w:tcPr>
            <w:tcW w:w="2266" w:type="dxa"/>
          </w:tcPr>
          <w:p w14:paraId="2C534619" w14:textId="77777777" w:rsidR="00CE09FD" w:rsidRPr="0054336F" w:rsidRDefault="00CE09FD" w:rsidP="00CF6C88">
            <w:pPr>
              <w:jc w:val="right"/>
              <w:rPr>
                <w:rFonts w:cstheme="minorHAnsi"/>
                <w:b/>
                <w:bCs/>
                <w:u w:val="single"/>
              </w:rPr>
            </w:pPr>
            <w:r>
              <w:rPr>
                <w:rFonts w:cstheme="minorHAnsi"/>
              </w:rPr>
              <w:t>4</w:t>
            </w:r>
            <w:r w:rsidRPr="0054336F">
              <w:rPr>
                <w:rFonts w:cstheme="minorHAnsi"/>
              </w:rPr>
              <w:t>99 999,99</w:t>
            </w:r>
          </w:p>
        </w:tc>
        <w:tc>
          <w:tcPr>
            <w:tcW w:w="2697" w:type="dxa"/>
          </w:tcPr>
          <w:p w14:paraId="11B50008" w14:textId="77777777" w:rsidR="00CE09FD" w:rsidRPr="0054336F" w:rsidRDefault="00CE09FD" w:rsidP="00CF6C88">
            <w:pPr>
              <w:jc w:val="center"/>
              <w:rPr>
                <w:rFonts w:cstheme="minorHAnsi"/>
              </w:rPr>
            </w:pPr>
            <w:r>
              <w:rPr>
                <w:rFonts w:cstheme="minorHAnsi"/>
              </w:rPr>
              <w:t>1,85</w:t>
            </w:r>
          </w:p>
        </w:tc>
      </w:tr>
      <w:tr w:rsidR="00CE09FD" w:rsidRPr="0054336F" w14:paraId="6947673B" w14:textId="77777777" w:rsidTr="00CF6C88">
        <w:tc>
          <w:tcPr>
            <w:tcW w:w="2265" w:type="dxa"/>
            <w:vMerge/>
            <w:shd w:val="clear" w:color="auto" w:fill="BDD6EE" w:themeFill="accent1" w:themeFillTint="66"/>
          </w:tcPr>
          <w:p w14:paraId="07D92A3C" w14:textId="77777777" w:rsidR="00CE09FD" w:rsidRPr="0054336F" w:rsidRDefault="00CE09FD" w:rsidP="00CF6C88">
            <w:pPr>
              <w:rPr>
                <w:rFonts w:cstheme="minorHAnsi"/>
                <w:b/>
                <w:bCs/>
                <w:u w:val="single"/>
              </w:rPr>
            </w:pPr>
          </w:p>
        </w:tc>
        <w:tc>
          <w:tcPr>
            <w:tcW w:w="2265" w:type="dxa"/>
          </w:tcPr>
          <w:p w14:paraId="3135EB8E" w14:textId="77777777" w:rsidR="00CE09FD" w:rsidRPr="0054336F" w:rsidRDefault="00CE09FD" w:rsidP="00CF6C88">
            <w:pPr>
              <w:jc w:val="right"/>
              <w:rPr>
                <w:rFonts w:cstheme="minorHAnsi"/>
              </w:rPr>
            </w:pPr>
            <w:r>
              <w:rPr>
                <w:rFonts w:cstheme="minorHAnsi"/>
              </w:rPr>
              <w:t>5</w:t>
            </w:r>
            <w:r w:rsidRPr="0054336F">
              <w:rPr>
                <w:rFonts w:cstheme="minorHAnsi"/>
              </w:rPr>
              <w:t>00 000,00</w:t>
            </w:r>
          </w:p>
        </w:tc>
        <w:tc>
          <w:tcPr>
            <w:tcW w:w="2266" w:type="dxa"/>
          </w:tcPr>
          <w:p w14:paraId="7C9A836B" w14:textId="77777777" w:rsidR="00CE09FD" w:rsidRPr="0054336F" w:rsidRDefault="00CE09FD" w:rsidP="00CF6C88">
            <w:pPr>
              <w:jc w:val="right"/>
              <w:rPr>
                <w:rFonts w:cstheme="minorHAnsi"/>
              </w:rPr>
            </w:pPr>
            <w:r w:rsidRPr="0054336F">
              <w:rPr>
                <w:rFonts w:cstheme="minorHAnsi"/>
              </w:rPr>
              <w:t xml:space="preserve"> 999 999,99</w:t>
            </w:r>
          </w:p>
        </w:tc>
        <w:tc>
          <w:tcPr>
            <w:tcW w:w="2697" w:type="dxa"/>
          </w:tcPr>
          <w:p w14:paraId="4EB0A219" w14:textId="77777777" w:rsidR="00CE09FD" w:rsidRPr="0054336F" w:rsidRDefault="00CE09FD" w:rsidP="00CF6C88">
            <w:pPr>
              <w:jc w:val="center"/>
              <w:rPr>
                <w:rFonts w:cstheme="minorHAnsi"/>
              </w:rPr>
            </w:pPr>
            <w:r>
              <w:rPr>
                <w:rFonts w:cstheme="minorHAnsi"/>
              </w:rPr>
              <w:t>1,60</w:t>
            </w:r>
          </w:p>
        </w:tc>
      </w:tr>
      <w:tr w:rsidR="00CE09FD" w:rsidRPr="0054336F" w14:paraId="3C65B7AD" w14:textId="77777777" w:rsidTr="00CF6C88">
        <w:tc>
          <w:tcPr>
            <w:tcW w:w="2265" w:type="dxa"/>
            <w:vMerge/>
            <w:shd w:val="clear" w:color="auto" w:fill="BDD6EE" w:themeFill="accent1" w:themeFillTint="66"/>
          </w:tcPr>
          <w:p w14:paraId="73502D94" w14:textId="77777777" w:rsidR="00CE09FD" w:rsidRPr="0054336F" w:rsidRDefault="00CE09FD" w:rsidP="00CF6C88">
            <w:pPr>
              <w:rPr>
                <w:rFonts w:cstheme="minorHAnsi"/>
                <w:b/>
                <w:bCs/>
                <w:u w:val="single"/>
              </w:rPr>
            </w:pPr>
          </w:p>
        </w:tc>
        <w:tc>
          <w:tcPr>
            <w:tcW w:w="4531" w:type="dxa"/>
            <w:gridSpan w:val="2"/>
          </w:tcPr>
          <w:p w14:paraId="65F17D3A" w14:textId="77777777" w:rsidR="00CE09FD" w:rsidRPr="0054336F" w:rsidRDefault="00CE09FD" w:rsidP="00CF6C88">
            <w:pPr>
              <w:jc w:val="center"/>
              <w:rPr>
                <w:rFonts w:cstheme="minorHAnsi"/>
              </w:rPr>
            </w:pPr>
            <w:r>
              <w:rPr>
                <w:rFonts w:cstheme="minorHAnsi"/>
              </w:rPr>
              <w:t>1</w:t>
            </w:r>
            <w:r w:rsidRPr="0054336F">
              <w:rPr>
                <w:rFonts w:cstheme="minorHAnsi"/>
              </w:rPr>
              <w:t xml:space="preserve"> 000 000,00 a viac</w:t>
            </w:r>
          </w:p>
        </w:tc>
        <w:tc>
          <w:tcPr>
            <w:tcW w:w="2697" w:type="dxa"/>
          </w:tcPr>
          <w:p w14:paraId="7C5DFAA6" w14:textId="77777777" w:rsidR="00CE09FD" w:rsidRPr="0054336F" w:rsidRDefault="00CE09FD" w:rsidP="00CF6C88">
            <w:pPr>
              <w:jc w:val="center"/>
              <w:rPr>
                <w:rFonts w:cstheme="minorHAnsi"/>
              </w:rPr>
            </w:pPr>
            <w:r w:rsidRPr="0054336F">
              <w:rPr>
                <w:rFonts w:cstheme="minorHAnsi"/>
              </w:rPr>
              <w:t>1,</w:t>
            </w:r>
            <w:r>
              <w:rPr>
                <w:rFonts w:cstheme="minorHAnsi"/>
              </w:rPr>
              <w:t>4</w:t>
            </w:r>
            <w:r w:rsidRPr="0054336F">
              <w:rPr>
                <w:rFonts w:cstheme="minorHAnsi"/>
              </w:rPr>
              <w:t>0</w:t>
            </w:r>
          </w:p>
        </w:tc>
      </w:tr>
    </w:tbl>
    <w:p w14:paraId="5D30C6C4" w14:textId="77777777" w:rsidR="005E649A" w:rsidRDefault="005E649A" w:rsidP="00401177">
      <w:pPr>
        <w:pStyle w:val="Popis"/>
        <w:keepNext/>
        <w:spacing w:after="0"/>
      </w:pPr>
    </w:p>
    <w:p w14:paraId="48703966" w14:textId="0D3FA1D9" w:rsidR="00CE09FD" w:rsidRDefault="00CE09FD" w:rsidP="00401177">
      <w:pPr>
        <w:pStyle w:val="Popis"/>
        <w:keepNext/>
        <w:spacing w:after="0"/>
      </w:pPr>
      <w:r>
        <w:t xml:space="preserve">Tabuľka </w:t>
      </w:r>
      <w:r w:rsidR="00182FCA">
        <w:t>4</w:t>
      </w:r>
    </w:p>
    <w:tbl>
      <w:tblPr>
        <w:tblStyle w:val="Mriekatabuky"/>
        <w:tblW w:w="9493" w:type="dxa"/>
        <w:tblLook w:val="04A0" w:firstRow="1" w:lastRow="0" w:firstColumn="1" w:lastColumn="0" w:noHBand="0" w:noVBand="1"/>
      </w:tblPr>
      <w:tblGrid>
        <w:gridCol w:w="1696"/>
        <w:gridCol w:w="1560"/>
        <w:gridCol w:w="1559"/>
        <w:gridCol w:w="2410"/>
        <w:gridCol w:w="2268"/>
      </w:tblGrid>
      <w:tr w:rsidR="002207CF" w:rsidRPr="0054336F" w14:paraId="796E79D1" w14:textId="779156A0" w:rsidTr="00411BB3">
        <w:trPr>
          <w:trHeight w:val="554"/>
        </w:trPr>
        <w:tc>
          <w:tcPr>
            <w:tcW w:w="1696" w:type="dxa"/>
            <w:vMerge w:val="restart"/>
            <w:shd w:val="clear" w:color="auto" w:fill="DEEAF6" w:themeFill="accent1" w:themeFillTint="33"/>
            <w:vAlign w:val="center"/>
          </w:tcPr>
          <w:p w14:paraId="34ECE199" w14:textId="22DF8B19" w:rsidR="002207CF" w:rsidRPr="0054336F" w:rsidRDefault="002207CF" w:rsidP="002B4EC2">
            <w:pPr>
              <w:jc w:val="center"/>
              <w:rPr>
                <w:rFonts w:cstheme="minorHAnsi"/>
                <w:b/>
                <w:bCs/>
              </w:rPr>
            </w:pPr>
            <w:r w:rsidRPr="0054336F">
              <w:rPr>
                <w:rFonts w:cstheme="minorHAnsi"/>
                <w:b/>
                <w:bCs/>
              </w:rPr>
              <w:t>Oprávnený výdavok</w:t>
            </w:r>
          </w:p>
        </w:tc>
        <w:tc>
          <w:tcPr>
            <w:tcW w:w="3119" w:type="dxa"/>
            <w:gridSpan w:val="2"/>
            <w:vMerge w:val="restart"/>
            <w:shd w:val="clear" w:color="auto" w:fill="DEEAF6" w:themeFill="accent1" w:themeFillTint="33"/>
            <w:vAlign w:val="center"/>
          </w:tcPr>
          <w:p w14:paraId="16D9A83C" w14:textId="4892CA64" w:rsidR="002207CF" w:rsidRDefault="002207CF" w:rsidP="002B4EC2">
            <w:pPr>
              <w:jc w:val="center"/>
              <w:rPr>
                <w:rFonts w:cstheme="minorHAnsi"/>
              </w:rPr>
            </w:pPr>
            <w:r w:rsidRPr="0054336F">
              <w:rPr>
                <w:rFonts w:cstheme="minorHAnsi"/>
                <w:b/>
                <w:bCs/>
              </w:rPr>
              <w:t>Oprávnené výdavky na stavebné práce a</w:t>
            </w:r>
            <w:r>
              <w:rPr>
                <w:rFonts w:cstheme="minorHAnsi"/>
                <w:b/>
                <w:bCs/>
              </w:rPr>
              <w:t> </w:t>
            </w:r>
            <w:r w:rsidRPr="0054336F">
              <w:rPr>
                <w:rFonts w:cstheme="minorHAnsi"/>
                <w:b/>
                <w:bCs/>
              </w:rPr>
              <w:t>vybavenie</w:t>
            </w:r>
          </w:p>
          <w:p w14:paraId="3717CAF5" w14:textId="77777777" w:rsidR="002207CF" w:rsidRPr="0054336F" w:rsidRDefault="002207CF" w:rsidP="002B4EC2">
            <w:pPr>
              <w:jc w:val="center"/>
              <w:rPr>
                <w:rFonts w:cstheme="minorHAnsi"/>
                <w:b/>
                <w:bCs/>
              </w:rPr>
            </w:pPr>
            <w:r w:rsidRPr="0054336F">
              <w:rPr>
                <w:rFonts w:cstheme="minorHAnsi"/>
                <w:b/>
                <w:bCs/>
              </w:rPr>
              <w:t>(EUR bez DPH)</w:t>
            </w:r>
          </w:p>
        </w:tc>
        <w:tc>
          <w:tcPr>
            <w:tcW w:w="4678" w:type="dxa"/>
            <w:gridSpan w:val="2"/>
            <w:shd w:val="clear" w:color="auto" w:fill="DEEAF6" w:themeFill="accent1" w:themeFillTint="33"/>
            <w:vAlign w:val="center"/>
          </w:tcPr>
          <w:p w14:paraId="1DB5376E" w14:textId="1F847E66" w:rsidR="002207CF" w:rsidRPr="0054336F" w:rsidRDefault="002207CF" w:rsidP="002B4EC2">
            <w:pPr>
              <w:jc w:val="center"/>
              <w:rPr>
                <w:rFonts w:cstheme="minorHAnsi"/>
                <w:b/>
                <w:bCs/>
              </w:rPr>
            </w:pPr>
            <w:r w:rsidRPr="0054336F">
              <w:rPr>
                <w:rFonts w:cstheme="minorHAnsi"/>
                <w:b/>
                <w:bCs/>
              </w:rPr>
              <w:t>Percentuálny limit</w:t>
            </w:r>
            <w:r w:rsidRPr="0054336F">
              <w:rPr>
                <w:rStyle w:val="Odkaznapoznmkupodiarou"/>
                <w:rFonts w:cstheme="minorHAnsi"/>
                <w:b/>
                <w:bCs/>
              </w:rPr>
              <w:footnoteReference w:id="6"/>
            </w:r>
          </w:p>
        </w:tc>
      </w:tr>
      <w:tr w:rsidR="002207CF" w:rsidRPr="0054336F" w14:paraId="00001261" w14:textId="4C1C41D0" w:rsidTr="000C35CF">
        <w:trPr>
          <w:trHeight w:val="456"/>
        </w:trPr>
        <w:tc>
          <w:tcPr>
            <w:tcW w:w="1696" w:type="dxa"/>
            <w:vMerge/>
            <w:shd w:val="clear" w:color="auto" w:fill="DEEAF6" w:themeFill="accent1" w:themeFillTint="33"/>
            <w:vAlign w:val="center"/>
          </w:tcPr>
          <w:p w14:paraId="1E4445EE" w14:textId="77777777" w:rsidR="002207CF" w:rsidRPr="0054336F" w:rsidRDefault="002207CF" w:rsidP="002B4EC2">
            <w:pPr>
              <w:jc w:val="center"/>
              <w:rPr>
                <w:rFonts w:cstheme="minorHAnsi"/>
                <w:b/>
                <w:bCs/>
              </w:rPr>
            </w:pPr>
          </w:p>
        </w:tc>
        <w:tc>
          <w:tcPr>
            <w:tcW w:w="3119" w:type="dxa"/>
            <w:gridSpan w:val="2"/>
            <w:vMerge/>
            <w:shd w:val="clear" w:color="auto" w:fill="DEEAF6" w:themeFill="accent1" w:themeFillTint="33"/>
            <w:vAlign w:val="center"/>
          </w:tcPr>
          <w:p w14:paraId="3C3B90CE" w14:textId="77777777" w:rsidR="002207CF" w:rsidRPr="0054336F" w:rsidRDefault="002207CF" w:rsidP="002B4EC2">
            <w:pPr>
              <w:jc w:val="center"/>
              <w:rPr>
                <w:rFonts w:cstheme="minorHAnsi"/>
              </w:rPr>
            </w:pPr>
          </w:p>
        </w:tc>
        <w:tc>
          <w:tcPr>
            <w:tcW w:w="2410" w:type="dxa"/>
            <w:vMerge w:val="restart"/>
            <w:shd w:val="clear" w:color="auto" w:fill="BDD6EE" w:themeFill="accent1" w:themeFillTint="66"/>
            <w:vAlign w:val="center"/>
          </w:tcPr>
          <w:p w14:paraId="093ADF57" w14:textId="743EEE3E" w:rsidR="002207CF" w:rsidRPr="002207CF" w:rsidRDefault="002207CF" w:rsidP="002207CF">
            <w:pPr>
              <w:pStyle w:val="Odsekzoznamu"/>
              <w:numPr>
                <w:ilvl w:val="0"/>
                <w:numId w:val="31"/>
              </w:numPr>
              <w:ind w:left="173" w:hanging="142"/>
              <w:rPr>
                <w:rFonts w:cstheme="minorHAnsi"/>
              </w:rPr>
            </w:pPr>
            <w:r>
              <w:rPr>
                <w:rFonts w:cstheme="minorHAnsi"/>
                <w:b/>
                <w:bCs/>
              </w:rPr>
              <w:t>Novostavba</w:t>
            </w:r>
          </w:p>
        </w:tc>
        <w:tc>
          <w:tcPr>
            <w:tcW w:w="2268" w:type="dxa"/>
            <w:vMerge w:val="restart"/>
            <w:shd w:val="clear" w:color="auto" w:fill="BDD6EE" w:themeFill="accent1" w:themeFillTint="66"/>
            <w:vAlign w:val="center"/>
          </w:tcPr>
          <w:p w14:paraId="7315B402" w14:textId="672577F9" w:rsidR="002207CF" w:rsidRDefault="002207CF" w:rsidP="002207CF">
            <w:pPr>
              <w:pStyle w:val="Odsekzoznamu"/>
              <w:numPr>
                <w:ilvl w:val="0"/>
                <w:numId w:val="31"/>
              </w:numPr>
              <w:ind w:left="173" w:hanging="142"/>
              <w:rPr>
                <w:rFonts w:cstheme="minorHAnsi"/>
                <w:b/>
                <w:bCs/>
              </w:rPr>
            </w:pPr>
            <w:r>
              <w:rPr>
                <w:rFonts w:cstheme="minorHAnsi"/>
                <w:b/>
                <w:bCs/>
              </w:rPr>
              <w:t>Rekonštrukcia</w:t>
            </w:r>
          </w:p>
        </w:tc>
      </w:tr>
      <w:tr w:rsidR="002207CF" w:rsidRPr="0054336F" w14:paraId="59F35243" w14:textId="22A79CB3" w:rsidTr="00441C31">
        <w:trPr>
          <w:trHeight w:val="322"/>
        </w:trPr>
        <w:tc>
          <w:tcPr>
            <w:tcW w:w="1696" w:type="dxa"/>
            <w:vMerge/>
            <w:shd w:val="clear" w:color="auto" w:fill="DEEAF6" w:themeFill="accent1" w:themeFillTint="33"/>
            <w:vAlign w:val="center"/>
          </w:tcPr>
          <w:p w14:paraId="1DCDD5ED" w14:textId="77777777" w:rsidR="002207CF" w:rsidRPr="0054336F" w:rsidRDefault="002207CF" w:rsidP="002B4EC2">
            <w:pPr>
              <w:jc w:val="center"/>
              <w:rPr>
                <w:rFonts w:cstheme="minorHAnsi"/>
                <w:b/>
                <w:bCs/>
              </w:rPr>
            </w:pPr>
          </w:p>
        </w:tc>
        <w:tc>
          <w:tcPr>
            <w:tcW w:w="1560" w:type="dxa"/>
            <w:shd w:val="clear" w:color="auto" w:fill="DEEAF6" w:themeFill="accent1" w:themeFillTint="33"/>
            <w:vAlign w:val="center"/>
          </w:tcPr>
          <w:p w14:paraId="6F79B325" w14:textId="5D75BA72" w:rsidR="002207CF" w:rsidRPr="0054336F" w:rsidRDefault="002207CF" w:rsidP="002B4EC2">
            <w:pPr>
              <w:jc w:val="center"/>
              <w:rPr>
                <w:rFonts w:cstheme="minorHAnsi"/>
              </w:rPr>
            </w:pPr>
            <w:r>
              <w:rPr>
                <w:rFonts w:cstheme="minorHAnsi"/>
              </w:rPr>
              <w:t>o</w:t>
            </w:r>
            <w:r w:rsidRPr="0054336F">
              <w:rPr>
                <w:rFonts w:cstheme="minorHAnsi"/>
              </w:rPr>
              <w:t>d</w:t>
            </w:r>
          </w:p>
        </w:tc>
        <w:tc>
          <w:tcPr>
            <w:tcW w:w="1559" w:type="dxa"/>
            <w:shd w:val="clear" w:color="auto" w:fill="DEEAF6" w:themeFill="accent1" w:themeFillTint="33"/>
            <w:vAlign w:val="center"/>
          </w:tcPr>
          <w:p w14:paraId="6220E39C" w14:textId="631AD295" w:rsidR="002207CF" w:rsidRPr="0054336F" w:rsidRDefault="002207CF" w:rsidP="002B4EC2">
            <w:pPr>
              <w:jc w:val="center"/>
              <w:rPr>
                <w:rFonts w:cstheme="minorHAnsi"/>
              </w:rPr>
            </w:pPr>
            <w:r>
              <w:rPr>
                <w:rFonts w:cstheme="minorHAnsi"/>
              </w:rPr>
              <w:t>do</w:t>
            </w:r>
          </w:p>
        </w:tc>
        <w:tc>
          <w:tcPr>
            <w:tcW w:w="2410" w:type="dxa"/>
            <w:vMerge/>
            <w:shd w:val="clear" w:color="auto" w:fill="BDD6EE" w:themeFill="accent1" w:themeFillTint="66"/>
            <w:vAlign w:val="center"/>
          </w:tcPr>
          <w:p w14:paraId="22C8B542" w14:textId="77777777" w:rsidR="002207CF" w:rsidRPr="0054336F" w:rsidRDefault="002207CF" w:rsidP="002B4EC2">
            <w:pPr>
              <w:jc w:val="center"/>
              <w:rPr>
                <w:rFonts w:cstheme="minorHAnsi"/>
                <w:b/>
                <w:bCs/>
              </w:rPr>
            </w:pPr>
          </w:p>
        </w:tc>
        <w:tc>
          <w:tcPr>
            <w:tcW w:w="2268" w:type="dxa"/>
            <w:vMerge/>
            <w:shd w:val="clear" w:color="auto" w:fill="BDD6EE" w:themeFill="accent1" w:themeFillTint="66"/>
          </w:tcPr>
          <w:p w14:paraId="13334F21" w14:textId="77777777" w:rsidR="002207CF" w:rsidRPr="0054336F" w:rsidRDefault="002207CF" w:rsidP="002B4EC2">
            <w:pPr>
              <w:jc w:val="center"/>
              <w:rPr>
                <w:rFonts w:cstheme="minorHAnsi"/>
                <w:b/>
                <w:bCs/>
              </w:rPr>
            </w:pPr>
          </w:p>
        </w:tc>
      </w:tr>
      <w:tr w:rsidR="002207CF" w:rsidRPr="0054336F" w14:paraId="3C581E39" w14:textId="326F5F22" w:rsidTr="000C35CF">
        <w:trPr>
          <w:trHeight w:val="276"/>
        </w:trPr>
        <w:tc>
          <w:tcPr>
            <w:tcW w:w="1696" w:type="dxa"/>
            <w:vMerge w:val="restart"/>
            <w:shd w:val="clear" w:color="auto" w:fill="BDD6EE" w:themeFill="accent1" w:themeFillTint="66"/>
            <w:vAlign w:val="center"/>
          </w:tcPr>
          <w:p w14:paraId="0187909C" w14:textId="77777777" w:rsidR="002207CF" w:rsidRPr="0054336F" w:rsidRDefault="002207CF" w:rsidP="002B4EC2">
            <w:pPr>
              <w:shd w:val="clear" w:color="auto" w:fill="BDD6EE" w:themeFill="accent1" w:themeFillTint="66"/>
              <w:rPr>
                <w:rFonts w:cstheme="minorHAnsi"/>
                <w:b/>
                <w:bCs/>
              </w:rPr>
            </w:pPr>
            <w:r w:rsidRPr="0054336F">
              <w:rPr>
                <w:rFonts w:cstheme="minorHAnsi"/>
                <w:b/>
                <w:bCs/>
              </w:rPr>
              <w:t>Prípravná a projektová dokumentácia</w:t>
            </w:r>
            <w:r w:rsidRPr="00492E3F">
              <w:rPr>
                <w:rFonts w:cstheme="minorHAnsi"/>
                <w:b/>
                <w:bCs/>
                <w:vertAlign w:val="superscript"/>
              </w:rPr>
              <w:footnoteReference w:id="7"/>
            </w:r>
          </w:p>
        </w:tc>
        <w:tc>
          <w:tcPr>
            <w:tcW w:w="1560" w:type="dxa"/>
            <w:vAlign w:val="center"/>
          </w:tcPr>
          <w:p w14:paraId="48C355C3" w14:textId="77777777" w:rsidR="002207CF" w:rsidRPr="0054336F" w:rsidRDefault="002207CF" w:rsidP="002B4EC2">
            <w:pPr>
              <w:jc w:val="center"/>
              <w:rPr>
                <w:rFonts w:cstheme="minorHAnsi"/>
              </w:rPr>
            </w:pPr>
            <w:r w:rsidRPr="0054336F">
              <w:rPr>
                <w:rFonts w:cstheme="minorHAnsi"/>
              </w:rPr>
              <w:t>0,00</w:t>
            </w:r>
          </w:p>
        </w:tc>
        <w:tc>
          <w:tcPr>
            <w:tcW w:w="1559" w:type="dxa"/>
            <w:vAlign w:val="center"/>
          </w:tcPr>
          <w:p w14:paraId="08BDF050" w14:textId="77777777" w:rsidR="002207CF" w:rsidRPr="0054336F" w:rsidRDefault="002207CF" w:rsidP="002B4EC2">
            <w:pPr>
              <w:jc w:val="center"/>
              <w:rPr>
                <w:rFonts w:cstheme="minorHAnsi"/>
              </w:rPr>
            </w:pPr>
            <w:r>
              <w:rPr>
                <w:rFonts w:cstheme="minorHAnsi"/>
              </w:rPr>
              <w:t>1</w:t>
            </w:r>
            <w:r w:rsidRPr="0054336F">
              <w:rPr>
                <w:rFonts w:cstheme="minorHAnsi"/>
              </w:rPr>
              <w:t>49 999,99</w:t>
            </w:r>
          </w:p>
        </w:tc>
        <w:tc>
          <w:tcPr>
            <w:tcW w:w="2410" w:type="dxa"/>
            <w:vAlign w:val="center"/>
          </w:tcPr>
          <w:p w14:paraId="79B8DD2A" w14:textId="0BE6ED91" w:rsidR="002207CF" w:rsidRPr="0054336F" w:rsidRDefault="002207CF" w:rsidP="002207CF">
            <w:pPr>
              <w:jc w:val="center"/>
              <w:rPr>
                <w:rFonts w:cstheme="minorHAnsi"/>
              </w:rPr>
            </w:pPr>
            <w:r>
              <w:rPr>
                <w:rFonts w:cstheme="minorHAnsi"/>
              </w:rPr>
              <w:t>7,80</w:t>
            </w:r>
          </w:p>
        </w:tc>
        <w:tc>
          <w:tcPr>
            <w:tcW w:w="2268" w:type="dxa"/>
          </w:tcPr>
          <w:p w14:paraId="75A17364" w14:textId="593A8EBA" w:rsidR="002207CF" w:rsidRDefault="002207CF" w:rsidP="0095533F">
            <w:pPr>
              <w:jc w:val="center"/>
              <w:rPr>
                <w:rFonts w:cstheme="minorHAnsi"/>
              </w:rPr>
            </w:pPr>
            <w:r>
              <w:rPr>
                <w:rFonts w:cstheme="minorHAnsi"/>
              </w:rPr>
              <w:t>9,2</w:t>
            </w:r>
          </w:p>
        </w:tc>
      </w:tr>
      <w:tr w:rsidR="002207CF" w:rsidRPr="0054336F" w14:paraId="4E0B9A3F" w14:textId="4DD4AD93" w:rsidTr="000C35CF">
        <w:trPr>
          <w:trHeight w:val="147"/>
        </w:trPr>
        <w:tc>
          <w:tcPr>
            <w:tcW w:w="1696" w:type="dxa"/>
            <w:vMerge/>
            <w:shd w:val="clear" w:color="auto" w:fill="BDD6EE" w:themeFill="accent1" w:themeFillTint="66"/>
            <w:vAlign w:val="center"/>
          </w:tcPr>
          <w:p w14:paraId="1B8C350B" w14:textId="77777777" w:rsidR="002207CF" w:rsidRPr="0054336F" w:rsidRDefault="002207CF" w:rsidP="002B4EC2">
            <w:pPr>
              <w:jc w:val="center"/>
              <w:rPr>
                <w:rFonts w:cstheme="minorHAnsi"/>
                <w:b/>
                <w:bCs/>
              </w:rPr>
            </w:pPr>
          </w:p>
        </w:tc>
        <w:tc>
          <w:tcPr>
            <w:tcW w:w="1560" w:type="dxa"/>
            <w:vAlign w:val="center"/>
          </w:tcPr>
          <w:p w14:paraId="6CDBB3A5" w14:textId="77777777" w:rsidR="002207CF" w:rsidRPr="0054336F" w:rsidRDefault="002207CF" w:rsidP="002B4EC2">
            <w:pPr>
              <w:jc w:val="center"/>
              <w:rPr>
                <w:rFonts w:cstheme="minorHAnsi"/>
              </w:rPr>
            </w:pPr>
            <w:r>
              <w:rPr>
                <w:rFonts w:cstheme="minorHAnsi"/>
              </w:rPr>
              <w:t>1</w:t>
            </w:r>
            <w:r w:rsidRPr="0054336F">
              <w:rPr>
                <w:rFonts w:cstheme="minorHAnsi"/>
              </w:rPr>
              <w:t>50 000,00</w:t>
            </w:r>
          </w:p>
        </w:tc>
        <w:tc>
          <w:tcPr>
            <w:tcW w:w="1559" w:type="dxa"/>
            <w:vAlign w:val="center"/>
          </w:tcPr>
          <w:p w14:paraId="4387BA2D" w14:textId="77777777" w:rsidR="002207CF" w:rsidRPr="0054336F" w:rsidRDefault="002207CF" w:rsidP="002B4EC2">
            <w:pPr>
              <w:jc w:val="center"/>
              <w:rPr>
                <w:rFonts w:cstheme="minorHAnsi"/>
              </w:rPr>
            </w:pPr>
            <w:r>
              <w:rPr>
                <w:rFonts w:cstheme="minorHAnsi"/>
              </w:rPr>
              <w:t>2</w:t>
            </w:r>
            <w:r w:rsidRPr="0054336F">
              <w:rPr>
                <w:rFonts w:cstheme="minorHAnsi"/>
              </w:rPr>
              <w:t>49 999,99</w:t>
            </w:r>
          </w:p>
        </w:tc>
        <w:tc>
          <w:tcPr>
            <w:tcW w:w="2410" w:type="dxa"/>
            <w:vAlign w:val="center"/>
          </w:tcPr>
          <w:p w14:paraId="48FE264A" w14:textId="3E25B2D4" w:rsidR="002207CF" w:rsidRPr="0054336F" w:rsidRDefault="002207CF" w:rsidP="002207CF">
            <w:pPr>
              <w:jc w:val="center"/>
              <w:rPr>
                <w:rFonts w:cstheme="minorHAnsi"/>
              </w:rPr>
            </w:pPr>
            <w:r>
              <w:rPr>
                <w:rFonts w:cstheme="minorHAnsi"/>
              </w:rPr>
              <w:t>7,00</w:t>
            </w:r>
          </w:p>
        </w:tc>
        <w:tc>
          <w:tcPr>
            <w:tcW w:w="2268" w:type="dxa"/>
          </w:tcPr>
          <w:p w14:paraId="7313D01E" w14:textId="2A421E14" w:rsidR="002207CF" w:rsidRDefault="002207CF" w:rsidP="002B4EC2">
            <w:pPr>
              <w:jc w:val="center"/>
              <w:rPr>
                <w:rFonts w:cstheme="minorHAnsi"/>
              </w:rPr>
            </w:pPr>
            <w:r>
              <w:rPr>
                <w:rFonts w:cstheme="minorHAnsi"/>
              </w:rPr>
              <w:t>8,2</w:t>
            </w:r>
          </w:p>
        </w:tc>
      </w:tr>
      <w:tr w:rsidR="002207CF" w:rsidRPr="0054336F" w14:paraId="5375064B" w14:textId="5A24086E" w:rsidTr="000C35CF">
        <w:trPr>
          <w:trHeight w:val="147"/>
        </w:trPr>
        <w:tc>
          <w:tcPr>
            <w:tcW w:w="1696" w:type="dxa"/>
            <w:vMerge/>
            <w:shd w:val="clear" w:color="auto" w:fill="BDD6EE" w:themeFill="accent1" w:themeFillTint="66"/>
            <w:vAlign w:val="center"/>
          </w:tcPr>
          <w:p w14:paraId="2E2943FF" w14:textId="77777777" w:rsidR="002207CF" w:rsidRPr="0054336F" w:rsidRDefault="002207CF" w:rsidP="002B4EC2">
            <w:pPr>
              <w:jc w:val="center"/>
              <w:rPr>
                <w:rFonts w:cstheme="minorHAnsi"/>
                <w:b/>
                <w:bCs/>
              </w:rPr>
            </w:pPr>
          </w:p>
        </w:tc>
        <w:tc>
          <w:tcPr>
            <w:tcW w:w="1560" w:type="dxa"/>
            <w:vAlign w:val="center"/>
          </w:tcPr>
          <w:p w14:paraId="002250B4" w14:textId="77777777" w:rsidR="002207CF" w:rsidRPr="0054336F" w:rsidRDefault="002207CF" w:rsidP="002B4EC2">
            <w:pPr>
              <w:jc w:val="center"/>
              <w:rPr>
                <w:rFonts w:cstheme="minorHAnsi"/>
              </w:rPr>
            </w:pPr>
            <w:r>
              <w:rPr>
                <w:rFonts w:cstheme="minorHAnsi"/>
              </w:rPr>
              <w:t>2</w:t>
            </w:r>
            <w:r w:rsidRPr="0054336F">
              <w:rPr>
                <w:rFonts w:cstheme="minorHAnsi"/>
              </w:rPr>
              <w:t>50 000,00</w:t>
            </w:r>
          </w:p>
        </w:tc>
        <w:tc>
          <w:tcPr>
            <w:tcW w:w="1559" w:type="dxa"/>
            <w:vAlign w:val="center"/>
          </w:tcPr>
          <w:p w14:paraId="3F7EAC4F" w14:textId="77777777" w:rsidR="002207CF" w:rsidRPr="0054336F" w:rsidRDefault="002207CF" w:rsidP="002B4EC2">
            <w:pPr>
              <w:jc w:val="center"/>
              <w:rPr>
                <w:rFonts w:cstheme="minorHAnsi"/>
              </w:rPr>
            </w:pPr>
            <w:r>
              <w:rPr>
                <w:rFonts w:cstheme="minorHAnsi"/>
              </w:rPr>
              <w:t>4</w:t>
            </w:r>
            <w:r w:rsidRPr="0054336F">
              <w:rPr>
                <w:rFonts w:cstheme="minorHAnsi"/>
              </w:rPr>
              <w:t>99 999,99</w:t>
            </w:r>
          </w:p>
        </w:tc>
        <w:tc>
          <w:tcPr>
            <w:tcW w:w="2410" w:type="dxa"/>
            <w:vAlign w:val="center"/>
          </w:tcPr>
          <w:p w14:paraId="79A51EE6" w14:textId="0655BCB1" w:rsidR="002207CF" w:rsidRPr="0054336F" w:rsidRDefault="002207CF" w:rsidP="002207CF">
            <w:pPr>
              <w:jc w:val="center"/>
              <w:rPr>
                <w:rFonts w:cstheme="minorHAnsi"/>
              </w:rPr>
            </w:pPr>
            <w:r>
              <w:rPr>
                <w:rFonts w:cstheme="minorHAnsi"/>
              </w:rPr>
              <w:t>6,20</w:t>
            </w:r>
          </w:p>
        </w:tc>
        <w:tc>
          <w:tcPr>
            <w:tcW w:w="2268" w:type="dxa"/>
          </w:tcPr>
          <w:p w14:paraId="336455C7" w14:textId="42C7AB75" w:rsidR="002207CF" w:rsidRDefault="002207CF" w:rsidP="002B4EC2">
            <w:pPr>
              <w:jc w:val="center"/>
              <w:rPr>
                <w:rFonts w:cstheme="minorHAnsi"/>
              </w:rPr>
            </w:pPr>
            <w:r>
              <w:rPr>
                <w:rFonts w:cstheme="minorHAnsi"/>
              </w:rPr>
              <w:t>7,4</w:t>
            </w:r>
          </w:p>
        </w:tc>
      </w:tr>
      <w:tr w:rsidR="002207CF" w:rsidRPr="0054336F" w14:paraId="7830893E" w14:textId="2B3B89C3" w:rsidTr="000C35CF">
        <w:trPr>
          <w:trHeight w:val="147"/>
        </w:trPr>
        <w:tc>
          <w:tcPr>
            <w:tcW w:w="1696" w:type="dxa"/>
            <w:vMerge/>
            <w:shd w:val="clear" w:color="auto" w:fill="BDD6EE" w:themeFill="accent1" w:themeFillTint="66"/>
            <w:vAlign w:val="center"/>
          </w:tcPr>
          <w:p w14:paraId="4B7F5066" w14:textId="77777777" w:rsidR="002207CF" w:rsidRPr="0054336F" w:rsidRDefault="002207CF" w:rsidP="002B4EC2">
            <w:pPr>
              <w:jc w:val="center"/>
              <w:rPr>
                <w:rFonts w:cstheme="minorHAnsi"/>
                <w:b/>
                <w:bCs/>
              </w:rPr>
            </w:pPr>
          </w:p>
        </w:tc>
        <w:tc>
          <w:tcPr>
            <w:tcW w:w="1560" w:type="dxa"/>
            <w:vAlign w:val="center"/>
          </w:tcPr>
          <w:p w14:paraId="6E3C3B22" w14:textId="77777777" w:rsidR="002207CF" w:rsidRPr="0054336F" w:rsidRDefault="002207CF" w:rsidP="002B4EC2">
            <w:pPr>
              <w:jc w:val="center"/>
              <w:rPr>
                <w:rFonts w:cstheme="minorHAnsi"/>
              </w:rPr>
            </w:pPr>
            <w:r>
              <w:rPr>
                <w:rFonts w:cstheme="minorHAnsi"/>
              </w:rPr>
              <w:t>5</w:t>
            </w:r>
            <w:r w:rsidRPr="0054336F">
              <w:rPr>
                <w:rFonts w:cstheme="minorHAnsi"/>
              </w:rPr>
              <w:t>00 000,00</w:t>
            </w:r>
          </w:p>
        </w:tc>
        <w:tc>
          <w:tcPr>
            <w:tcW w:w="1559" w:type="dxa"/>
            <w:vAlign w:val="center"/>
          </w:tcPr>
          <w:p w14:paraId="17B57EA4" w14:textId="77777777" w:rsidR="002207CF" w:rsidRPr="0054336F" w:rsidRDefault="002207CF" w:rsidP="002B4EC2">
            <w:pPr>
              <w:jc w:val="center"/>
              <w:rPr>
                <w:rFonts w:cstheme="minorHAnsi"/>
              </w:rPr>
            </w:pPr>
            <w:r>
              <w:rPr>
                <w:rFonts w:cstheme="minorHAnsi"/>
              </w:rPr>
              <w:t>999 999,99</w:t>
            </w:r>
          </w:p>
        </w:tc>
        <w:tc>
          <w:tcPr>
            <w:tcW w:w="2410" w:type="dxa"/>
            <w:vAlign w:val="center"/>
          </w:tcPr>
          <w:p w14:paraId="28C813A6" w14:textId="56CE7481" w:rsidR="002207CF" w:rsidRPr="0054336F" w:rsidRDefault="002207CF" w:rsidP="002207CF">
            <w:pPr>
              <w:jc w:val="center"/>
              <w:rPr>
                <w:rFonts w:cstheme="minorHAnsi"/>
              </w:rPr>
            </w:pPr>
            <w:r>
              <w:rPr>
                <w:rFonts w:cstheme="minorHAnsi"/>
              </w:rPr>
              <w:t>5,10</w:t>
            </w:r>
          </w:p>
        </w:tc>
        <w:tc>
          <w:tcPr>
            <w:tcW w:w="2268" w:type="dxa"/>
          </w:tcPr>
          <w:p w14:paraId="2620C8D8" w14:textId="6DEC06C0" w:rsidR="002207CF" w:rsidRDefault="002207CF" w:rsidP="002B4EC2">
            <w:pPr>
              <w:jc w:val="center"/>
              <w:rPr>
                <w:rFonts w:cstheme="minorHAnsi"/>
              </w:rPr>
            </w:pPr>
            <w:r>
              <w:rPr>
                <w:rFonts w:cstheme="minorHAnsi"/>
              </w:rPr>
              <w:t>6,0</w:t>
            </w:r>
          </w:p>
        </w:tc>
      </w:tr>
      <w:tr w:rsidR="002207CF" w:rsidRPr="0054336F" w14:paraId="60956F23" w14:textId="52C5D97D" w:rsidTr="000C35CF">
        <w:trPr>
          <w:trHeight w:val="147"/>
        </w:trPr>
        <w:tc>
          <w:tcPr>
            <w:tcW w:w="1696" w:type="dxa"/>
            <w:vMerge/>
            <w:shd w:val="clear" w:color="auto" w:fill="BDD6EE" w:themeFill="accent1" w:themeFillTint="66"/>
            <w:vAlign w:val="center"/>
          </w:tcPr>
          <w:p w14:paraId="3C86E0DB" w14:textId="77777777" w:rsidR="002207CF" w:rsidRPr="0054336F" w:rsidRDefault="002207CF" w:rsidP="002B4EC2">
            <w:pPr>
              <w:jc w:val="center"/>
              <w:rPr>
                <w:rFonts w:cstheme="minorHAnsi"/>
                <w:b/>
                <w:bCs/>
              </w:rPr>
            </w:pPr>
          </w:p>
        </w:tc>
        <w:tc>
          <w:tcPr>
            <w:tcW w:w="1560" w:type="dxa"/>
            <w:vAlign w:val="center"/>
          </w:tcPr>
          <w:p w14:paraId="1D6CF79E" w14:textId="2D5D9A9D" w:rsidR="002207CF" w:rsidRDefault="002207CF" w:rsidP="002B4EC2">
            <w:pPr>
              <w:jc w:val="center"/>
              <w:rPr>
                <w:rFonts w:cstheme="minorHAnsi"/>
              </w:rPr>
            </w:pPr>
            <w:r>
              <w:rPr>
                <w:rFonts w:cstheme="minorHAnsi"/>
              </w:rPr>
              <w:t>1 000 000,00</w:t>
            </w:r>
          </w:p>
        </w:tc>
        <w:tc>
          <w:tcPr>
            <w:tcW w:w="1559" w:type="dxa"/>
            <w:vAlign w:val="center"/>
          </w:tcPr>
          <w:p w14:paraId="78643BDE" w14:textId="754D9E85" w:rsidR="002207CF" w:rsidRDefault="002207CF" w:rsidP="002B4EC2">
            <w:pPr>
              <w:jc w:val="center"/>
              <w:rPr>
                <w:rFonts w:cstheme="minorHAnsi"/>
              </w:rPr>
            </w:pPr>
            <w:r>
              <w:rPr>
                <w:rFonts w:cstheme="minorHAnsi"/>
              </w:rPr>
              <w:t>1 999 999,99</w:t>
            </w:r>
          </w:p>
        </w:tc>
        <w:tc>
          <w:tcPr>
            <w:tcW w:w="2410" w:type="dxa"/>
            <w:vAlign w:val="center"/>
          </w:tcPr>
          <w:p w14:paraId="38599AD3" w14:textId="5C8EF361" w:rsidR="002207CF" w:rsidRDefault="002207CF" w:rsidP="002207CF">
            <w:pPr>
              <w:jc w:val="center"/>
              <w:rPr>
                <w:rFonts w:cstheme="minorHAnsi"/>
              </w:rPr>
            </w:pPr>
            <w:r>
              <w:rPr>
                <w:rFonts w:cstheme="minorHAnsi"/>
              </w:rPr>
              <w:t>4,20</w:t>
            </w:r>
          </w:p>
        </w:tc>
        <w:tc>
          <w:tcPr>
            <w:tcW w:w="2268" w:type="dxa"/>
          </w:tcPr>
          <w:p w14:paraId="0B357425" w14:textId="74E61D53" w:rsidR="002207CF" w:rsidRDefault="002207CF" w:rsidP="002B4EC2">
            <w:pPr>
              <w:jc w:val="center"/>
              <w:rPr>
                <w:rFonts w:cstheme="minorHAnsi"/>
              </w:rPr>
            </w:pPr>
            <w:r>
              <w:rPr>
                <w:rFonts w:cstheme="minorHAnsi"/>
              </w:rPr>
              <w:t>4,9</w:t>
            </w:r>
          </w:p>
        </w:tc>
      </w:tr>
      <w:tr w:rsidR="002207CF" w:rsidRPr="0054336F" w14:paraId="07F2B9B9" w14:textId="1CB559DA" w:rsidTr="000C35CF">
        <w:trPr>
          <w:trHeight w:val="147"/>
        </w:trPr>
        <w:tc>
          <w:tcPr>
            <w:tcW w:w="1696" w:type="dxa"/>
            <w:vMerge/>
            <w:shd w:val="clear" w:color="auto" w:fill="BDD6EE" w:themeFill="accent1" w:themeFillTint="66"/>
            <w:vAlign w:val="center"/>
          </w:tcPr>
          <w:p w14:paraId="4FA64301" w14:textId="77777777" w:rsidR="002207CF" w:rsidRPr="0054336F" w:rsidRDefault="002207CF" w:rsidP="002B4EC2">
            <w:pPr>
              <w:jc w:val="center"/>
              <w:rPr>
                <w:rFonts w:cstheme="minorHAnsi"/>
                <w:b/>
                <w:bCs/>
              </w:rPr>
            </w:pPr>
          </w:p>
        </w:tc>
        <w:tc>
          <w:tcPr>
            <w:tcW w:w="1560" w:type="dxa"/>
            <w:vAlign w:val="center"/>
          </w:tcPr>
          <w:p w14:paraId="38654F1C" w14:textId="7A3ECD6F" w:rsidR="002207CF" w:rsidRDefault="002207CF" w:rsidP="002B4EC2">
            <w:pPr>
              <w:jc w:val="center"/>
              <w:rPr>
                <w:rFonts w:cstheme="minorHAnsi"/>
              </w:rPr>
            </w:pPr>
            <w:r>
              <w:rPr>
                <w:rFonts w:cstheme="minorHAnsi"/>
              </w:rPr>
              <w:t>2 000 000,00</w:t>
            </w:r>
          </w:p>
        </w:tc>
        <w:tc>
          <w:tcPr>
            <w:tcW w:w="1559" w:type="dxa"/>
            <w:vAlign w:val="center"/>
          </w:tcPr>
          <w:p w14:paraId="2198C588" w14:textId="1D3B435E" w:rsidR="002207CF" w:rsidRDefault="002207CF" w:rsidP="002B4EC2">
            <w:pPr>
              <w:jc w:val="center"/>
              <w:rPr>
                <w:rFonts w:cstheme="minorHAnsi"/>
              </w:rPr>
            </w:pPr>
            <w:r>
              <w:rPr>
                <w:rFonts w:cstheme="minorHAnsi"/>
              </w:rPr>
              <w:t>2 999 999,99</w:t>
            </w:r>
          </w:p>
        </w:tc>
        <w:tc>
          <w:tcPr>
            <w:tcW w:w="2410" w:type="dxa"/>
            <w:vAlign w:val="center"/>
          </w:tcPr>
          <w:p w14:paraId="7CDEBC82" w14:textId="731BC0C7" w:rsidR="002207CF" w:rsidRDefault="002207CF" w:rsidP="002207CF">
            <w:pPr>
              <w:jc w:val="center"/>
              <w:rPr>
                <w:rFonts w:cstheme="minorHAnsi"/>
              </w:rPr>
            </w:pPr>
            <w:r>
              <w:rPr>
                <w:rFonts w:cstheme="minorHAnsi"/>
              </w:rPr>
              <w:t>3,80</w:t>
            </w:r>
          </w:p>
        </w:tc>
        <w:tc>
          <w:tcPr>
            <w:tcW w:w="2268" w:type="dxa"/>
          </w:tcPr>
          <w:p w14:paraId="7444D2B0" w14:textId="7E578715" w:rsidR="002207CF" w:rsidRDefault="002207CF" w:rsidP="002B4EC2">
            <w:pPr>
              <w:jc w:val="center"/>
              <w:rPr>
                <w:rFonts w:cstheme="minorHAnsi"/>
              </w:rPr>
            </w:pPr>
            <w:r>
              <w:rPr>
                <w:rFonts w:cstheme="minorHAnsi"/>
              </w:rPr>
              <w:t>4,5</w:t>
            </w:r>
          </w:p>
        </w:tc>
      </w:tr>
      <w:tr w:rsidR="002207CF" w:rsidRPr="0054336F" w14:paraId="1D0BD55D" w14:textId="0F53A99E" w:rsidTr="000C35CF">
        <w:trPr>
          <w:trHeight w:val="147"/>
        </w:trPr>
        <w:tc>
          <w:tcPr>
            <w:tcW w:w="1696" w:type="dxa"/>
            <w:vMerge/>
            <w:shd w:val="clear" w:color="auto" w:fill="BDD6EE" w:themeFill="accent1" w:themeFillTint="66"/>
            <w:vAlign w:val="center"/>
          </w:tcPr>
          <w:p w14:paraId="379E100A" w14:textId="77777777" w:rsidR="002207CF" w:rsidRPr="0054336F" w:rsidRDefault="002207CF" w:rsidP="002B4EC2">
            <w:pPr>
              <w:jc w:val="center"/>
              <w:rPr>
                <w:rFonts w:cstheme="minorHAnsi"/>
                <w:b/>
                <w:bCs/>
              </w:rPr>
            </w:pPr>
          </w:p>
        </w:tc>
        <w:tc>
          <w:tcPr>
            <w:tcW w:w="3119" w:type="dxa"/>
            <w:gridSpan w:val="2"/>
            <w:vAlign w:val="center"/>
          </w:tcPr>
          <w:p w14:paraId="45DA1E88" w14:textId="44A35D04" w:rsidR="002207CF" w:rsidRDefault="002207CF" w:rsidP="002B4EC2">
            <w:pPr>
              <w:jc w:val="center"/>
              <w:rPr>
                <w:rFonts w:cstheme="minorHAnsi"/>
              </w:rPr>
            </w:pPr>
            <w:r>
              <w:rPr>
                <w:rFonts w:cstheme="minorHAnsi"/>
              </w:rPr>
              <w:t>3 000 000,00 a viac</w:t>
            </w:r>
          </w:p>
        </w:tc>
        <w:tc>
          <w:tcPr>
            <w:tcW w:w="2410" w:type="dxa"/>
            <w:vAlign w:val="center"/>
          </w:tcPr>
          <w:p w14:paraId="5BD22B82" w14:textId="71612F85" w:rsidR="002207CF" w:rsidRPr="0054336F" w:rsidRDefault="002207CF" w:rsidP="002207CF">
            <w:pPr>
              <w:jc w:val="center"/>
              <w:rPr>
                <w:rFonts w:cstheme="minorHAnsi"/>
              </w:rPr>
            </w:pPr>
            <w:r>
              <w:rPr>
                <w:rFonts w:cstheme="minorHAnsi"/>
              </w:rPr>
              <w:t>3,30</w:t>
            </w:r>
          </w:p>
        </w:tc>
        <w:tc>
          <w:tcPr>
            <w:tcW w:w="2268" w:type="dxa"/>
          </w:tcPr>
          <w:p w14:paraId="179ED9A8" w14:textId="207FC2F6" w:rsidR="002207CF" w:rsidRDefault="002207CF" w:rsidP="002B4EC2">
            <w:pPr>
              <w:jc w:val="center"/>
              <w:rPr>
                <w:rFonts w:cstheme="minorHAnsi"/>
              </w:rPr>
            </w:pPr>
            <w:r>
              <w:rPr>
                <w:rFonts w:cstheme="minorHAnsi"/>
              </w:rPr>
              <w:t>3,9</w:t>
            </w:r>
          </w:p>
        </w:tc>
      </w:tr>
    </w:tbl>
    <w:p w14:paraId="1190568B" w14:textId="77777777" w:rsidR="002207CF" w:rsidRDefault="002207CF" w:rsidP="00401177">
      <w:pPr>
        <w:pStyle w:val="Popis"/>
        <w:keepNext/>
        <w:spacing w:after="0"/>
      </w:pPr>
    </w:p>
    <w:p w14:paraId="7FE83B7E" w14:textId="7B9155AA" w:rsidR="00141F36" w:rsidRDefault="00141F36" w:rsidP="00401177">
      <w:pPr>
        <w:pStyle w:val="Popis"/>
        <w:keepNext/>
        <w:spacing w:after="0"/>
      </w:pPr>
      <w:r>
        <w:t xml:space="preserve">Tabuľka </w:t>
      </w:r>
      <w:r w:rsidR="00182FCA">
        <w:t>5</w:t>
      </w:r>
    </w:p>
    <w:tbl>
      <w:tblPr>
        <w:tblStyle w:val="Mriekatabuky"/>
        <w:tblW w:w="0" w:type="auto"/>
        <w:tblLook w:val="04A0" w:firstRow="1" w:lastRow="0" w:firstColumn="1" w:lastColumn="0" w:noHBand="0" w:noVBand="1"/>
      </w:tblPr>
      <w:tblGrid>
        <w:gridCol w:w="2547"/>
        <w:gridCol w:w="6513"/>
        <w:tblGridChange w:id="38">
          <w:tblGrid>
            <w:gridCol w:w="2547"/>
            <w:gridCol w:w="6513"/>
          </w:tblGrid>
        </w:tblGridChange>
      </w:tblGrid>
      <w:tr w:rsidR="00CE09FD" w:rsidRPr="0054336F" w14:paraId="6E6F818D" w14:textId="77777777" w:rsidTr="00EC01B6">
        <w:tc>
          <w:tcPr>
            <w:tcW w:w="2547" w:type="dxa"/>
            <w:shd w:val="clear" w:color="auto" w:fill="4472C4" w:themeFill="accent5"/>
          </w:tcPr>
          <w:p w14:paraId="4A21E56D" w14:textId="77777777" w:rsidR="00CE09FD" w:rsidRPr="0054336F" w:rsidRDefault="00CE09FD" w:rsidP="00CF6C88">
            <w:pPr>
              <w:rPr>
                <w:rFonts w:cstheme="minorHAnsi"/>
                <w:b/>
                <w:bCs/>
                <w:color w:val="FFFFFF" w:themeColor="background1"/>
                <w:sz w:val="24"/>
                <w:szCs w:val="24"/>
              </w:rPr>
            </w:pPr>
            <w:r w:rsidRPr="0054336F">
              <w:rPr>
                <w:rFonts w:cstheme="minorHAnsi"/>
                <w:b/>
                <w:bCs/>
                <w:color w:val="FFFFFF" w:themeColor="background1"/>
                <w:sz w:val="24"/>
                <w:szCs w:val="24"/>
              </w:rPr>
              <w:t>Skupina oprávnených výdavkov</w:t>
            </w:r>
          </w:p>
        </w:tc>
        <w:tc>
          <w:tcPr>
            <w:tcW w:w="6513" w:type="dxa"/>
            <w:shd w:val="clear" w:color="auto" w:fill="4472C4" w:themeFill="accent5"/>
          </w:tcPr>
          <w:p w14:paraId="116B71C0" w14:textId="77777777" w:rsidR="00CE09FD" w:rsidRPr="0054336F" w:rsidRDefault="00CE09FD" w:rsidP="00CF6C88">
            <w:pPr>
              <w:rPr>
                <w:rFonts w:cstheme="minorHAnsi"/>
                <w:b/>
                <w:bCs/>
                <w:color w:val="FFFFFF" w:themeColor="background1"/>
              </w:rPr>
            </w:pPr>
          </w:p>
          <w:p w14:paraId="61F77C7C" w14:textId="77777777" w:rsidR="00CE09FD" w:rsidRPr="0054336F" w:rsidRDefault="00CE09FD" w:rsidP="00CF6C88">
            <w:pPr>
              <w:rPr>
                <w:rFonts w:cstheme="minorHAnsi"/>
                <w:b/>
                <w:bCs/>
                <w:color w:val="FFFFFF" w:themeColor="background1"/>
                <w:sz w:val="24"/>
                <w:szCs w:val="24"/>
              </w:rPr>
            </w:pPr>
            <w:r w:rsidRPr="008146B2">
              <w:rPr>
                <w:rFonts w:cstheme="minorHAnsi"/>
                <w:b/>
                <w:bCs/>
                <w:color w:val="FFFFFF" w:themeColor="background1"/>
                <w:sz w:val="24"/>
                <w:szCs w:val="24"/>
              </w:rPr>
              <w:t>Oprávnené výdavky</w:t>
            </w:r>
          </w:p>
        </w:tc>
      </w:tr>
      <w:tr w:rsidR="00CE09FD" w:rsidRPr="0054336F" w14:paraId="642BE9C6" w14:textId="77777777" w:rsidTr="00EC01B6">
        <w:tc>
          <w:tcPr>
            <w:tcW w:w="2547" w:type="dxa"/>
            <w:shd w:val="clear" w:color="auto" w:fill="BDD6EE" w:themeFill="accent1" w:themeFillTint="66"/>
          </w:tcPr>
          <w:p w14:paraId="6F03E228" w14:textId="77777777" w:rsidR="00CE09FD" w:rsidRPr="008146B2" w:rsidRDefault="00CE09FD" w:rsidP="00CF6C88">
            <w:pPr>
              <w:rPr>
                <w:rFonts w:cstheme="minorHAnsi"/>
                <w:b/>
                <w:bCs/>
              </w:rPr>
            </w:pPr>
            <w:r w:rsidRPr="007F468E">
              <w:rPr>
                <w:rFonts w:cstheme="minorHAnsi"/>
                <w:b/>
                <w:bCs/>
              </w:rPr>
              <w:t>Trieda</w:t>
            </w:r>
          </w:p>
        </w:tc>
        <w:tc>
          <w:tcPr>
            <w:tcW w:w="6513" w:type="dxa"/>
            <w:shd w:val="clear" w:color="auto" w:fill="BDD6EE" w:themeFill="accent1" w:themeFillTint="66"/>
          </w:tcPr>
          <w:p w14:paraId="0307FAC4" w14:textId="77777777" w:rsidR="00CE09FD" w:rsidRPr="008146B2" w:rsidRDefault="00CE09FD" w:rsidP="00CF6C88">
            <w:pPr>
              <w:rPr>
                <w:rFonts w:cstheme="minorHAnsi"/>
                <w:b/>
                <w:bCs/>
              </w:rPr>
            </w:pPr>
            <w:r w:rsidRPr="008146B2">
              <w:rPr>
                <w:rFonts w:cstheme="minorHAnsi"/>
                <w:b/>
                <w:bCs/>
              </w:rPr>
              <w:t>02 – Dlhodobý hmotný majetok</w:t>
            </w:r>
          </w:p>
        </w:tc>
      </w:tr>
      <w:tr w:rsidR="00CE09FD" w:rsidRPr="0054336F" w14:paraId="677F9E30" w14:textId="77777777" w:rsidTr="00EC01B6">
        <w:trPr>
          <w:trHeight w:val="936"/>
        </w:trPr>
        <w:tc>
          <w:tcPr>
            <w:tcW w:w="2547" w:type="dxa"/>
            <w:shd w:val="clear" w:color="auto" w:fill="F2F2F2" w:themeFill="background1" w:themeFillShade="F2"/>
          </w:tcPr>
          <w:p w14:paraId="03B43018" w14:textId="77777777" w:rsidR="00CE09FD" w:rsidRPr="008146B2" w:rsidRDefault="00CE09FD" w:rsidP="00CF6C88">
            <w:pPr>
              <w:rPr>
                <w:rFonts w:cstheme="minorHAnsi"/>
                <w:b/>
                <w:bCs/>
              </w:rPr>
            </w:pPr>
            <w:r w:rsidRPr="008146B2">
              <w:rPr>
                <w:rFonts w:cstheme="minorHAnsi"/>
                <w:b/>
                <w:bCs/>
              </w:rPr>
              <w:t>021 - Stavby</w:t>
            </w:r>
            <w:r w:rsidRPr="008146B2">
              <w:rPr>
                <w:rStyle w:val="Odkaznapoznmkupodiarou"/>
                <w:rFonts w:cstheme="minorHAnsi"/>
                <w:b/>
                <w:bCs/>
              </w:rPr>
              <w:footnoteReference w:id="8"/>
            </w:r>
            <w:r w:rsidRPr="008146B2">
              <w:rPr>
                <w:rFonts w:cstheme="minorHAnsi"/>
                <w:b/>
                <w:bCs/>
              </w:rPr>
              <w:t>/</w:t>
            </w:r>
          </w:p>
          <w:p w14:paraId="32A5C70F" w14:textId="77777777" w:rsidR="00CE09FD" w:rsidRPr="008146B2" w:rsidRDefault="00CE09FD" w:rsidP="00CF6C88">
            <w:pPr>
              <w:rPr>
                <w:rFonts w:cstheme="minorHAnsi"/>
                <w:b/>
                <w:bCs/>
              </w:rPr>
            </w:pPr>
            <w:r w:rsidRPr="008146B2">
              <w:rPr>
                <w:rFonts w:cstheme="minorHAnsi"/>
                <w:b/>
                <w:bCs/>
              </w:rPr>
              <w:t>029</w:t>
            </w:r>
            <w:r>
              <w:rPr>
                <w:rFonts w:cstheme="minorHAnsi"/>
                <w:b/>
                <w:bCs/>
              </w:rPr>
              <w:t xml:space="preserve"> - </w:t>
            </w:r>
            <w:r w:rsidRPr="008146B2">
              <w:rPr>
                <w:rFonts w:cstheme="minorHAnsi"/>
                <w:b/>
                <w:bCs/>
              </w:rPr>
              <w:t>Ostatný dlhodobý hmotný majetok</w:t>
            </w:r>
            <w:r w:rsidRPr="008146B2">
              <w:rPr>
                <w:rStyle w:val="Odkaznapoznmkupodiarou"/>
                <w:rFonts w:cstheme="minorHAnsi"/>
                <w:b/>
                <w:bCs/>
              </w:rPr>
              <w:footnoteReference w:id="9"/>
            </w:r>
            <w:r w:rsidRPr="008146B2">
              <w:rPr>
                <w:rFonts w:cstheme="minorHAnsi"/>
                <w:b/>
                <w:bCs/>
              </w:rPr>
              <w:t xml:space="preserve"> (ak relevantné)</w:t>
            </w:r>
          </w:p>
          <w:p w14:paraId="1CD26916" w14:textId="77777777" w:rsidR="00CE09FD" w:rsidRPr="0054336F" w:rsidRDefault="00CE09FD" w:rsidP="00CF6C88">
            <w:pPr>
              <w:rPr>
                <w:rFonts w:cstheme="minorHAnsi"/>
                <w:b/>
                <w:bCs/>
              </w:rPr>
            </w:pPr>
          </w:p>
          <w:p w14:paraId="4F163447" w14:textId="77777777" w:rsidR="00CE09FD" w:rsidRPr="0054336F" w:rsidRDefault="00CE09FD" w:rsidP="00CF6C88">
            <w:pPr>
              <w:rPr>
                <w:rFonts w:cstheme="minorHAnsi"/>
                <w:b/>
                <w:bCs/>
              </w:rPr>
            </w:pPr>
          </w:p>
          <w:p w14:paraId="21E065FB" w14:textId="77777777" w:rsidR="00CE09FD" w:rsidRPr="0054336F" w:rsidRDefault="00CE09FD" w:rsidP="00CF6C88">
            <w:pPr>
              <w:rPr>
                <w:rFonts w:cstheme="minorHAnsi"/>
                <w:b/>
                <w:bCs/>
              </w:rPr>
            </w:pPr>
          </w:p>
          <w:p w14:paraId="38B50E06" w14:textId="77777777" w:rsidR="00CE09FD" w:rsidRPr="0054336F" w:rsidRDefault="00CE09FD" w:rsidP="00CF6C88">
            <w:pPr>
              <w:rPr>
                <w:rFonts w:cstheme="minorHAnsi"/>
                <w:b/>
                <w:bCs/>
              </w:rPr>
            </w:pPr>
          </w:p>
          <w:p w14:paraId="14E7CCBB" w14:textId="77777777" w:rsidR="00CE09FD" w:rsidRPr="0054336F" w:rsidRDefault="00CE09FD" w:rsidP="00CF6C88">
            <w:pPr>
              <w:rPr>
                <w:rFonts w:cstheme="minorHAnsi"/>
                <w:b/>
                <w:bCs/>
              </w:rPr>
            </w:pPr>
          </w:p>
          <w:p w14:paraId="1BA5DF87" w14:textId="77777777" w:rsidR="00CE09FD" w:rsidRPr="0054336F" w:rsidRDefault="00CE09FD" w:rsidP="00CF6C88">
            <w:pPr>
              <w:rPr>
                <w:rFonts w:cstheme="minorHAnsi"/>
                <w:b/>
                <w:bCs/>
              </w:rPr>
            </w:pPr>
          </w:p>
          <w:p w14:paraId="457CFD5B" w14:textId="77777777" w:rsidR="00CE09FD" w:rsidRPr="0054336F" w:rsidRDefault="00CE09FD" w:rsidP="00CF6C88">
            <w:pPr>
              <w:rPr>
                <w:rFonts w:cstheme="minorHAnsi"/>
                <w:b/>
                <w:bCs/>
              </w:rPr>
            </w:pPr>
          </w:p>
          <w:p w14:paraId="6710788D" w14:textId="77777777" w:rsidR="00CE09FD" w:rsidRPr="0054336F" w:rsidRDefault="00CE09FD" w:rsidP="00CF6C88">
            <w:pPr>
              <w:rPr>
                <w:rFonts w:cstheme="minorHAnsi"/>
                <w:b/>
                <w:bCs/>
              </w:rPr>
            </w:pPr>
          </w:p>
          <w:p w14:paraId="7DEDBA05" w14:textId="77777777" w:rsidR="00CE09FD" w:rsidRPr="0054336F" w:rsidRDefault="00CE09FD" w:rsidP="00CF6C88">
            <w:pPr>
              <w:rPr>
                <w:rFonts w:cstheme="minorHAnsi"/>
                <w:b/>
                <w:bCs/>
              </w:rPr>
            </w:pPr>
          </w:p>
          <w:p w14:paraId="24065B3D" w14:textId="77777777" w:rsidR="00CE09FD" w:rsidRPr="0054336F" w:rsidRDefault="00CE09FD" w:rsidP="00CF6C88">
            <w:pPr>
              <w:rPr>
                <w:rFonts w:cstheme="minorHAnsi"/>
                <w:b/>
                <w:bCs/>
              </w:rPr>
            </w:pPr>
          </w:p>
          <w:p w14:paraId="22E6EBBC" w14:textId="77777777" w:rsidR="00CE09FD" w:rsidRPr="0054336F" w:rsidRDefault="00CE09FD" w:rsidP="00CF6C88">
            <w:pPr>
              <w:rPr>
                <w:rFonts w:cstheme="minorHAnsi"/>
                <w:b/>
                <w:bCs/>
              </w:rPr>
            </w:pPr>
          </w:p>
          <w:p w14:paraId="0FEE4419" w14:textId="77777777" w:rsidR="00CE09FD" w:rsidRPr="0054336F" w:rsidRDefault="00CE09FD" w:rsidP="00CF6C88">
            <w:pPr>
              <w:rPr>
                <w:rFonts w:cstheme="minorHAnsi"/>
                <w:b/>
                <w:bCs/>
              </w:rPr>
            </w:pPr>
          </w:p>
          <w:p w14:paraId="42B71A6B" w14:textId="77777777" w:rsidR="00CE09FD" w:rsidRPr="0054336F" w:rsidRDefault="00CE09FD" w:rsidP="00CF6C88">
            <w:pPr>
              <w:rPr>
                <w:rFonts w:cstheme="minorHAnsi"/>
                <w:b/>
                <w:bCs/>
              </w:rPr>
            </w:pPr>
          </w:p>
          <w:p w14:paraId="057D6293" w14:textId="77777777" w:rsidR="00CE09FD" w:rsidRPr="0054336F" w:rsidRDefault="00CE09FD" w:rsidP="00CF6C88">
            <w:pPr>
              <w:rPr>
                <w:rFonts w:cstheme="minorHAnsi"/>
                <w:b/>
                <w:bCs/>
              </w:rPr>
            </w:pPr>
          </w:p>
          <w:p w14:paraId="363B63DD" w14:textId="77777777" w:rsidR="00CE09FD" w:rsidRPr="0054336F" w:rsidRDefault="00CE09FD" w:rsidP="00CF6C88">
            <w:pPr>
              <w:rPr>
                <w:rFonts w:cstheme="minorHAnsi"/>
                <w:b/>
                <w:bCs/>
              </w:rPr>
            </w:pPr>
          </w:p>
          <w:p w14:paraId="1F72F38C" w14:textId="77777777" w:rsidR="00CE09FD" w:rsidRPr="008146B2" w:rsidRDefault="00CE09FD" w:rsidP="00CF6C88">
            <w:pPr>
              <w:rPr>
                <w:rFonts w:cstheme="minorHAnsi"/>
                <w:b/>
                <w:bCs/>
              </w:rPr>
            </w:pPr>
          </w:p>
        </w:tc>
        <w:tc>
          <w:tcPr>
            <w:tcW w:w="6513" w:type="dxa"/>
          </w:tcPr>
          <w:p w14:paraId="17F608AB" w14:textId="221EF22F" w:rsidR="00CE09FD" w:rsidRPr="0054336F" w:rsidRDefault="004D2E66" w:rsidP="00CF6C88">
            <w:pPr>
              <w:jc w:val="both"/>
              <w:rPr>
                <w:rFonts w:cstheme="minorHAnsi"/>
              </w:rPr>
            </w:pPr>
            <w:r>
              <w:rPr>
                <w:rFonts w:cstheme="minorHAnsi"/>
                <w:b/>
                <w:bCs/>
              </w:rPr>
              <w:t>obstaranie nájomného bytu</w:t>
            </w:r>
            <w:r w:rsidR="00682118">
              <w:rPr>
                <w:rFonts w:cstheme="minorHAnsi"/>
                <w:b/>
                <w:bCs/>
              </w:rPr>
              <w:t xml:space="preserve"> novou výstavbou</w:t>
            </w:r>
            <w:r w:rsidR="00CE09FD" w:rsidRPr="0054336F">
              <w:rPr>
                <w:rFonts w:cstheme="minorHAnsi"/>
                <w:b/>
                <w:bCs/>
              </w:rPr>
              <w:t>,</w:t>
            </w:r>
            <w:r w:rsidR="00CE09FD" w:rsidRPr="0054336F">
              <w:rPr>
                <w:rFonts w:cstheme="minorHAnsi"/>
              </w:rPr>
              <w:t xml:space="preserve"> napr.:</w:t>
            </w:r>
          </w:p>
          <w:p w14:paraId="54B7548C" w14:textId="54FC4F11" w:rsidR="00CE09FD" w:rsidRPr="008146B2" w:rsidRDefault="004D2E66" w:rsidP="00CF6C88">
            <w:pPr>
              <w:pStyle w:val="Odsekzoznamu"/>
              <w:numPr>
                <w:ilvl w:val="0"/>
                <w:numId w:val="1"/>
              </w:numPr>
              <w:jc w:val="both"/>
              <w:rPr>
                <w:rFonts w:cstheme="minorHAnsi"/>
              </w:rPr>
            </w:pPr>
            <w:r>
              <w:rPr>
                <w:rFonts w:cstheme="minorHAnsi"/>
              </w:rPr>
              <w:t xml:space="preserve">výstavba nájomného bytu v bytovom dome </w:t>
            </w:r>
          </w:p>
          <w:p w14:paraId="7503827E" w14:textId="7C15C80E" w:rsidR="004D2E66" w:rsidRDefault="00C13453" w:rsidP="00CF6C88">
            <w:pPr>
              <w:pStyle w:val="Odsekzoznamu"/>
              <w:numPr>
                <w:ilvl w:val="0"/>
                <w:numId w:val="1"/>
              </w:numPr>
              <w:jc w:val="both"/>
              <w:rPr>
                <w:rFonts w:cstheme="minorHAnsi"/>
              </w:rPr>
            </w:pPr>
            <w:r>
              <w:rPr>
                <w:rFonts w:cstheme="minorHAnsi"/>
              </w:rPr>
              <w:t>v</w:t>
            </w:r>
            <w:r w:rsidR="00C366FC">
              <w:rPr>
                <w:rFonts w:cstheme="minorHAnsi"/>
              </w:rPr>
              <w:t xml:space="preserve">ýstavba </w:t>
            </w:r>
            <w:r w:rsidR="004D2E66">
              <w:rPr>
                <w:rFonts w:cstheme="minorHAnsi"/>
              </w:rPr>
              <w:t>nájomného bytu v rodinnom dome</w:t>
            </w:r>
          </w:p>
          <w:p w14:paraId="03F2AD4E" w14:textId="77777777" w:rsidR="00682118" w:rsidRPr="00401177" w:rsidRDefault="00682118" w:rsidP="00682118">
            <w:pPr>
              <w:pStyle w:val="Odsekzoznamu"/>
              <w:jc w:val="both"/>
              <w:rPr>
                <w:rFonts w:cstheme="minorHAnsi"/>
                <w:sz w:val="10"/>
              </w:rPr>
            </w:pPr>
          </w:p>
          <w:p w14:paraId="684A0535" w14:textId="66E082FC" w:rsidR="00682118" w:rsidRPr="0054336F" w:rsidRDefault="00682118" w:rsidP="00682118">
            <w:pPr>
              <w:jc w:val="both"/>
              <w:rPr>
                <w:rFonts w:cstheme="minorHAnsi"/>
              </w:rPr>
            </w:pPr>
            <w:r>
              <w:rPr>
                <w:rFonts w:cstheme="minorHAnsi"/>
                <w:b/>
                <w:bCs/>
              </w:rPr>
              <w:t>obstaranie nájomného bytu stavebnými úpravami</w:t>
            </w:r>
            <w:r w:rsidRPr="0054336F">
              <w:rPr>
                <w:rFonts w:cstheme="minorHAnsi"/>
                <w:b/>
                <w:bCs/>
              </w:rPr>
              <w:t>,</w:t>
            </w:r>
            <w:r w:rsidRPr="0054336F">
              <w:rPr>
                <w:rFonts w:cstheme="minorHAnsi"/>
              </w:rPr>
              <w:t xml:space="preserve"> napr.:</w:t>
            </w:r>
          </w:p>
          <w:p w14:paraId="4D5DB60F" w14:textId="77777777" w:rsidR="00682118" w:rsidRDefault="00682118" w:rsidP="00682118">
            <w:pPr>
              <w:pStyle w:val="Odsekzoznamu"/>
              <w:numPr>
                <w:ilvl w:val="0"/>
                <w:numId w:val="1"/>
              </w:numPr>
              <w:jc w:val="both"/>
              <w:rPr>
                <w:rFonts w:cstheme="minorHAnsi"/>
              </w:rPr>
            </w:pPr>
            <w:r>
              <w:rPr>
                <w:rFonts w:cstheme="minorHAnsi"/>
              </w:rPr>
              <w:t>výstavba nájomného bytu formou nadstavby alebo prístavby bytovej budovy alebo nadstavby alebo prístavby nebytovej budovy</w:t>
            </w:r>
          </w:p>
          <w:p w14:paraId="065C4314" w14:textId="1268D1F9" w:rsidR="00C13453" w:rsidRDefault="00682118" w:rsidP="00C13453">
            <w:pPr>
              <w:pStyle w:val="Odsekzoznamu"/>
              <w:numPr>
                <w:ilvl w:val="0"/>
                <w:numId w:val="1"/>
              </w:numPr>
              <w:jc w:val="both"/>
              <w:rPr>
                <w:rFonts w:cstheme="minorHAnsi"/>
              </w:rPr>
            </w:pPr>
            <w:r>
              <w:rPr>
                <w:rFonts w:cstheme="minorHAnsi"/>
              </w:rPr>
              <w:t xml:space="preserve">stavebná úpravy budovy, ktorou vznikne byt v bytovom dome </w:t>
            </w:r>
            <w:r w:rsidRPr="008146B2">
              <w:rPr>
                <w:rFonts w:cstheme="minorHAnsi"/>
              </w:rPr>
              <w:t xml:space="preserve"> </w:t>
            </w:r>
          </w:p>
          <w:p w14:paraId="5A4C028A" w14:textId="21B887C8" w:rsidR="00C13453" w:rsidRDefault="00C13453" w:rsidP="008F5C7C">
            <w:pPr>
              <w:jc w:val="both"/>
              <w:rPr>
                <w:rFonts w:cstheme="minorHAnsi"/>
              </w:rPr>
            </w:pPr>
          </w:p>
          <w:p w14:paraId="58A9F140" w14:textId="77777777" w:rsidR="00C13453" w:rsidRPr="00C13453" w:rsidRDefault="00C13453" w:rsidP="00C13453">
            <w:pPr>
              <w:jc w:val="both"/>
              <w:rPr>
                <w:rFonts w:cstheme="minorHAnsi"/>
              </w:rPr>
            </w:pPr>
            <w:r>
              <w:rPr>
                <w:rFonts w:cstheme="minorHAnsi"/>
                <w:b/>
                <w:bCs/>
              </w:rPr>
              <w:t>rekonštrukcia nájomného bytu</w:t>
            </w:r>
          </w:p>
          <w:p w14:paraId="01124379" w14:textId="77777777" w:rsidR="00682118" w:rsidRPr="00401177" w:rsidRDefault="00682118" w:rsidP="00682118">
            <w:pPr>
              <w:pStyle w:val="Odsekzoznamu"/>
              <w:jc w:val="both"/>
              <w:rPr>
                <w:rFonts w:cstheme="minorHAnsi"/>
                <w:sz w:val="10"/>
              </w:rPr>
            </w:pPr>
          </w:p>
          <w:p w14:paraId="39397B2D" w14:textId="33426C58" w:rsidR="00682118" w:rsidRPr="0054336F" w:rsidRDefault="00682118" w:rsidP="00682118">
            <w:pPr>
              <w:jc w:val="both"/>
              <w:rPr>
                <w:rFonts w:cstheme="minorHAnsi"/>
              </w:rPr>
            </w:pPr>
            <w:r>
              <w:rPr>
                <w:rFonts w:cstheme="minorHAnsi"/>
                <w:b/>
                <w:bCs/>
              </w:rPr>
              <w:t>práce súvisiace s obstaraním nájomného bytu</w:t>
            </w:r>
            <w:r w:rsidRPr="0054336F">
              <w:rPr>
                <w:rFonts w:cstheme="minorHAnsi"/>
                <w:b/>
                <w:bCs/>
              </w:rPr>
              <w:t>,</w:t>
            </w:r>
            <w:r w:rsidRPr="0054336F">
              <w:rPr>
                <w:rFonts w:cstheme="minorHAnsi"/>
              </w:rPr>
              <w:t xml:space="preserve"> napr.:</w:t>
            </w:r>
          </w:p>
          <w:p w14:paraId="45C09FF4" w14:textId="77777777" w:rsidR="00682118" w:rsidRDefault="00682118" w:rsidP="00682118">
            <w:pPr>
              <w:pStyle w:val="Odsekzoznamu"/>
              <w:numPr>
                <w:ilvl w:val="0"/>
                <w:numId w:val="1"/>
              </w:numPr>
              <w:jc w:val="both"/>
              <w:rPr>
                <w:rFonts w:cstheme="minorHAnsi"/>
              </w:rPr>
            </w:pPr>
            <w:r w:rsidRPr="008146B2">
              <w:rPr>
                <w:rFonts w:cstheme="minorHAnsi"/>
              </w:rPr>
              <w:t>demolácia realizovaná v nevyhnutnom ro</w:t>
            </w:r>
            <w:r>
              <w:rPr>
                <w:rFonts w:cstheme="minorHAnsi"/>
              </w:rPr>
              <w:t>zsahu a priamej väzbe na obstaranie nájomného bytu</w:t>
            </w:r>
          </w:p>
          <w:p w14:paraId="09C53B32" w14:textId="4E69135F" w:rsidR="00682118" w:rsidRDefault="00682118" w:rsidP="00682118">
            <w:pPr>
              <w:pStyle w:val="Odsekzoznamu"/>
              <w:numPr>
                <w:ilvl w:val="0"/>
                <w:numId w:val="1"/>
              </w:numPr>
              <w:jc w:val="both"/>
              <w:rPr>
                <w:rFonts w:cstheme="minorHAnsi"/>
              </w:rPr>
            </w:pPr>
            <w:r w:rsidRPr="008146B2">
              <w:rPr>
                <w:rFonts w:cstheme="minorHAnsi"/>
              </w:rPr>
              <w:t>zameriavacie práce (vytýčenie stavby, zameranie súčasného stavu stavby a iné)</w:t>
            </w:r>
          </w:p>
          <w:p w14:paraId="301906A5" w14:textId="1CE875E9" w:rsidR="00EA50C6" w:rsidRPr="00EA50C6" w:rsidRDefault="00EA50C6" w:rsidP="00EA50C6">
            <w:pPr>
              <w:jc w:val="both"/>
              <w:rPr>
                <w:rFonts w:cstheme="minorHAnsi"/>
              </w:rPr>
            </w:pPr>
            <w:r w:rsidRPr="008146B2">
              <w:rPr>
                <w:rFonts w:cstheme="minorHAnsi"/>
              </w:rPr>
              <w:t xml:space="preserve">vo výške maximálne </w:t>
            </w:r>
            <w:r>
              <w:rPr>
                <w:rFonts w:cstheme="minorHAnsi"/>
              </w:rPr>
              <w:t>5</w:t>
            </w:r>
            <w:r w:rsidRPr="008146B2">
              <w:rPr>
                <w:rFonts w:cstheme="minorHAnsi"/>
              </w:rPr>
              <w:t xml:space="preserve"> % celkových oprávnených priamych výdavkov na projekt, vr</w:t>
            </w:r>
            <w:r>
              <w:rPr>
                <w:rFonts w:cstheme="minorHAnsi"/>
              </w:rPr>
              <w:t>átane výdavkov na práce súvisiace s obstaraním nájomného bytu</w:t>
            </w:r>
          </w:p>
          <w:p w14:paraId="48FFBEA3" w14:textId="5BF0423A" w:rsidR="00CE09FD" w:rsidRPr="00682118" w:rsidRDefault="00CE09FD" w:rsidP="005E3274">
            <w:pPr>
              <w:jc w:val="both"/>
              <w:rPr>
                <w:rFonts w:cstheme="minorHAnsi"/>
                <w:sz w:val="16"/>
              </w:rPr>
            </w:pPr>
          </w:p>
          <w:p w14:paraId="60C78AB0" w14:textId="74EBFC91" w:rsidR="005E3274" w:rsidRPr="0054336F" w:rsidRDefault="005E3274" w:rsidP="005E3274">
            <w:pPr>
              <w:jc w:val="both"/>
              <w:rPr>
                <w:rFonts w:cstheme="minorHAnsi"/>
              </w:rPr>
            </w:pPr>
            <w:r>
              <w:rPr>
                <w:rFonts w:cstheme="minorHAnsi"/>
                <w:b/>
                <w:bCs/>
              </w:rPr>
              <w:t>obstaranie technickej vybavenosti k nájomného bytu</w:t>
            </w:r>
            <w:r w:rsidR="00EA50C6">
              <w:rPr>
                <w:rFonts w:cstheme="minorHAnsi"/>
                <w:b/>
                <w:bCs/>
              </w:rPr>
              <w:t xml:space="preserve"> výstavbou</w:t>
            </w:r>
            <w:r w:rsidRPr="0054336F">
              <w:rPr>
                <w:rFonts w:cstheme="minorHAnsi"/>
                <w:b/>
                <w:bCs/>
              </w:rPr>
              <w:t>,</w:t>
            </w:r>
            <w:r w:rsidRPr="0054336F">
              <w:rPr>
                <w:rFonts w:cstheme="minorHAnsi"/>
              </w:rPr>
              <w:t xml:space="preserve"> napr.:</w:t>
            </w:r>
          </w:p>
          <w:p w14:paraId="62207673" w14:textId="205407F0" w:rsidR="005E3274" w:rsidRDefault="00EA50C6" w:rsidP="005E3274">
            <w:pPr>
              <w:pStyle w:val="Odsekzoznamu"/>
              <w:numPr>
                <w:ilvl w:val="0"/>
                <w:numId w:val="1"/>
              </w:numPr>
              <w:jc w:val="both"/>
              <w:rPr>
                <w:rFonts w:cstheme="minorHAnsi"/>
              </w:rPr>
            </w:pPr>
            <w:r>
              <w:rPr>
                <w:rFonts w:cstheme="minorHAnsi"/>
              </w:rPr>
              <w:t xml:space="preserve">obstaranie </w:t>
            </w:r>
            <w:r w:rsidR="00824C86">
              <w:rPr>
                <w:rFonts w:cstheme="minorHAnsi"/>
              </w:rPr>
              <w:t>vodovodnej prípojky</w:t>
            </w:r>
          </w:p>
          <w:p w14:paraId="04EA3FB7" w14:textId="16576157" w:rsidR="00824C86" w:rsidRDefault="00EA50C6" w:rsidP="005E3274">
            <w:pPr>
              <w:pStyle w:val="Odsekzoznamu"/>
              <w:numPr>
                <w:ilvl w:val="0"/>
                <w:numId w:val="1"/>
              </w:numPr>
              <w:jc w:val="both"/>
              <w:rPr>
                <w:rFonts w:cstheme="minorHAnsi"/>
              </w:rPr>
            </w:pPr>
            <w:r>
              <w:rPr>
                <w:rFonts w:cstheme="minorHAnsi"/>
              </w:rPr>
              <w:t xml:space="preserve">obstaranie </w:t>
            </w:r>
            <w:r w:rsidR="00824C86">
              <w:rPr>
                <w:rFonts w:cstheme="minorHAnsi"/>
              </w:rPr>
              <w:t>kanalizačnej prípojky</w:t>
            </w:r>
          </w:p>
          <w:p w14:paraId="7A3C927F" w14:textId="6DFB30C2" w:rsidR="00824C86" w:rsidRPr="00824C86" w:rsidRDefault="00EA50C6" w:rsidP="00824C86">
            <w:pPr>
              <w:pStyle w:val="Odsekzoznamu"/>
              <w:numPr>
                <w:ilvl w:val="0"/>
                <w:numId w:val="1"/>
              </w:numPr>
              <w:jc w:val="both"/>
              <w:rPr>
                <w:rFonts w:cstheme="minorHAnsi"/>
              </w:rPr>
            </w:pPr>
            <w:r>
              <w:rPr>
                <w:rFonts w:cstheme="minorHAnsi"/>
              </w:rPr>
              <w:t xml:space="preserve">obstaranie </w:t>
            </w:r>
            <w:r w:rsidR="00824C86">
              <w:rPr>
                <w:rFonts w:cstheme="minorHAnsi"/>
              </w:rPr>
              <w:t>odstavnej plochy vrátane príjazdu z miestnej komunikácie</w:t>
            </w:r>
            <w:r w:rsidR="005E649A">
              <w:rPr>
                <w:rFonts w:cstheme="minorHAnsi"/>
              </w:rPr>
              <w:t xml:space="preserve"> a stojiska na kontajnery</w:t>
            </w:r>
          </w:p>
          <w:p w14:paraId="2B298642" w14:textId="77777777" w:rsidR="005E3274" w:rsidRPr="00401177" w:rsidRDefault="005E3274" w:rsidP="005E3274">
            <w:pPr>
              <w:jc w:val="both"/>
              <w:rPr>
                <w:rFonts w:cstheme="minorHAnsi"/>
                <w:sz w:val="10"/>
              </w:rPr>
            </w:pPr>
          </w:p>
          <w:p w14:paraId="4A2232C8" w14:textId="77777777" w:rsidR="00CE09FD" w:rsidRPr="008146B2" w:rsidRDefault="00CE09FD" w:rsidP="00CF6C88">
            <w:pPr>
              <w:jc w:val="both"/>
              <w:rPr>
                <w:rFonts w:cstheme="minorHAnsi"/>
                <w:b/>
                <w:bCs/>
              </w:rPr>
            </w:pPr>
            <w:r w:rsidRPr="008146B2">
              <w:rPr>
                <w:rFonts w:cstheme="minorHAnsi"/>
                <w:b/>
                <w:bCs/>
              </w:rPr>
              <w:t xml:space="preserve">prípravná a projektová dokumentácia:  </w:t>
            </w:r>
          </w:p>
          <w:p w14:paraId="1D02FBC0" w14:textId="541B647F" w:rsidR="00CE09FD" w:rsidRDefault="00CE09FD" w:rsidP="00CF6C88">
            <w:pPr>
              <w:pStyle w:val="Odsekzoznamu"/>
              <w:numPr>
                <w:ilvl w:val="0"/>
                <w:numId w:val="1"/>
              </w:numPr>
              <w:jc w:val="both"/>
              <w:rPr>
                <w:rFonts w:cstheme="minorHAnsi"/>
              </w:rPr>
            </w:pPr>
            <w:r w:rsidRPr="008146B2">
              <w:rPr>
                <w:rFonts w:cstheme="minorHAnsi"/>
              </w:rPr>
              <w:t xml:space="preserve">vypracovanie projektovej dokumentácie stavby v rozsahu realizačnej dokumentácie, vrátane </w:t>
            </w:r>
            <w:r w:rsidR="00354C3D">
              <w:rPr>
                <w:rFonts w:cstheme="minorHAnsi"/>
              </w:rPr>
              <w:t xml:space="preserve">odborného </w:t>
            </w:r>
            <w:r w:rsidRPr="008146B2">
              <w:rPr>
                <w:rFonts w:cstheme="minorHAnsi"/>
              </w:rPr>
              <w:t>autorského do</w:t>
            </w:r>
            <w:r w:rsidR="00A90053">
              <w:rPr>
                <w:rFonts w:cstheme="minorHAnsi"/>
              </w:rPr>
              <w:t>hľad</w:t>
            </w:r>
            <w:r w:rsidR="00BC4863">
              <w:rPr>
                <w:rFonts w:cstheme="minorHAnsi"/>
              </w:rPr>
              <w:t>u</w:t>
            </w:r>
            <w:r w:rsidR="00354C3D">
              <w:rPr>
                <w:rStyle w:val="Odkaznapoznmkupodiarou"/>
                <w:rFonts w:cstheme="minorHAnsi"/>
              </w:rPr>
              <w:footnoteReference w:id="10"/>
            </w:r>
            <w:r w:rsidRPr="008146B2">
              <w:rPr>
                <w:rFonts w:cstheme="minorHAnsi"/>
              </w:rPr>
              <w:t xml:space="preserve"> projektanta </w:t>
            </w:r>
          </w:p>
          <w:p w14:paraId="09EA44DA" w14:textId="77777777" w:rsidR="00C366FC" w:rsidRPr="00401177" w:rsidRDefault="00C366FC" w:rsidP="00C366FC">
            <w:pPr>
              <w:jc w:val="both"/>
              <w:rPr>
                <w:rFonts w:cstheme="minorHAnsi"/>
                <w:sz w:val="10"/>
              </w:rPr>
            </w:pPr>
          </w:p>
          <w:p w14:paraId="2C31400E" w14:textId="78307B81" w:rsidR="00CE09FD" w:rsidRPr="008146B2" w:rsidRDefault="00CE09FD" w:rsidP="00CF6C88">
            <w:pPr>
              <w:jc w:val="both"/>
              <w:rPr>
                <w:rFonts w:cstheme="minorHAnsi"/>
                <w:b/>
                <w:bCs/>
              </w:rPr>
            </w:pPr>
            <w:r w:rsidRPr="008146B2">
              <w:rPr>
                <w:rFonts w:cstheme="minorHAnsi"/>
                <w:b/>
                <w:bCs/>
              </w:rPr>
              <w:t>stavebný dozor:</w:t>
            </w:r>
          </w:p>
          <w:p w14:paraId="787321B0" w14:textId="77777777" w:rsidR="00CE09FD" w:rsidRPr="008146B2" w:rsidRDefault="00CE09FD" w:rsidP="00CF6C88">
            <w:pPr>
              <w:pStyle w:val="Odsekzoznamu"/>
              <w:numPr>
                <w:ilvl w:val="0"/>
                <w:numId w:val="1"/>
              </w:numPr>
              <w:jc w:val="both"/>
              <w:rPr>
                <w:rFonts w:cstheme="minorHAnsi"/>
              </w:rPr>
            </w:pPr>
            <w:r w:rsidRPr="008146B2">
              <w:rPr>
                <w:rFonts w:cstheme="minorHAnsi"/>
              </w:rPr>
              <w:t xml:space="preserve">výkon stavebného dozoru pri realizácii stavby, vrátane zabezpečenia dokumentácie pre kolaudačné konanie,  </w:t>
            </w:r>
          </w:p>
          <w:p w14:paraId="4EFD53AB" w14:textId="1DF623DF" w:rsidR="00CE09FD" w:rsidRPr="006619BF" w:rsidRDefault="00CE09FD" w:rsidP="00CF6C88">
            <w:pPr>
              <w:pStyle w:val="Odsekzoznamu"/>
              <w:numPr>
                <w:ilvl w:val="0"/>
                <w:numId w:val="1"/>
              </w:numPr>
              <w:jc w:val="both"/>
              <w:rPr>
                <w:rFonts w:cstheme="minorHAnsi"/>
              </w:rPr>
            </w:pPr>
            <w:r w:rsidRPr="008146B2">
              <w:rPr>
                <w:rFonts w:cstheme="minorHAnsi"/>
              </w:rPr>
              <w:t>minimálne definovaný obsah činností stavebného dozoru je stanovený v Zákone č. 50/1976 Zb. o územnom plánovaní a stavebnom poriadku (stavebný zákon) v znení neskorších predpisov</w:t>
            </w:r>
          </w:p>
        </w:tc>
      </w:tr>
      <w:tr w:rsidR="00CE09FD" w:rsidRPr="0054336F" w14:paraId="64862A1B" w14:textId="77777777" w:rsidTr="00EC01B6">
        <w:trPr>
          <w:trHeight w:val="141"/>
        </w:trPr>
        <w:tc>
          <w:tcPr>
            <w:tcW w:w="2547" w:type="dxa"/>
            <w:shd w:val="clear" w:color="auto" w:fill="F2F2F2" w:themeFill="background1" w:themeFillShade="F2"/>
          </w:tcPr>
          <w:p w14:paraId="48D4C645" w14:textId="77777777" w:rsidR="00CE09FD" w:rsidRPr="008146B2" w:rsidRDefault="00CE09FD" w:rsidP="00CF6C88">
            <w:pPr>
              <w:rPr>
                <w:rFonts w:cstheme="minorHAnsi"/>
                <w:b/>
                <w:bCs/>
              </w:rPr>
            </w:pPr>
            <w:r w:rsidRPr="008146B2">
              <w:rPr>
                <w:rFonts w:cstheme="minorHAnsi"/>
                <w:b/>
                <w:bCs/>
              </w:rPr>
              <w:lastRenderedPageBreak/>
              <w:t>027 - Pozemky</w:t>
            </w:r>
          </w:p>
        </w:tc>
        <w:tc>
          <w:tcPr>
            <w:tcW w:w="6513" w:type="dxa"/>
          </w:tcPr>
          <w:p w14:paraId="25C7293F" w14:textId="60F8DA38" w:rsidR="00682118" w:rsidRPr="00682118" w:rsidRDefault="00CE09FD" w:rsidP="00CF6C88">
            <w:pPr>
              <w:jc w:val="both"/>
              <w:rPr>
                <w:rFonts w:cstheme="minorHAnsi"/>
              </w:rPr>
            </w:pPr>
            <w:r w:rsidRPr="008146B2">
              <w:rPr>
                <w:rFonts w:cstheme="minorHAnsi"/>
                <w:b/>
                <w:bCs/>
              </w:rPr>
              <w:t>nákup pozemkov</w:t>
            </w:r>
            <w:r w:rsidRPr="008146B2">
              <w:rPr>
                <w:rStyle w:val="Odkaznapoznmkupodiarou"/>
                <w:rFonts w:cstheme="minorHAnsi"/>
              </w:rPr>
              <w:footnoteReference w:id="11"/>
            </w:r>
            <w:r w:rsidRPr="008146B2">
              <w:rPr>
                <w:rFonts w:cstheme="minorHAnsi"/>
              </w:rPr>
              <w:t>, na ktorých má byť projekt realizovaný, vo výške maximálne 10 % celkových oprávnených priamych výdavkov na projekt, vrátane výdavkov na nákup pozemkov</w:t>
            </w:r>
          </w:p>
        </w:tc>
      </w:tr>
      <w:tr w:rsidR="00CE09FD" w:rsidRPr="0054336F" w14:paraId="3907FB07" w14:textId="77777777" w:rsidTr="00EC01B6">
        <w:tc>
          <w:tcPr>
            <w:tcW w:w="2547" w:type="dxa"/>
            <w:shd w:val="clear" w:color="auto" w:fill="BDD6EE" w:themeFill="accent1" w:themeFillTint="66"/>
          </w:tcPr>
          <w:p w14:paraId="0A0A2DF2" w14:textId="77777777" w:rsidR="00CE09FD" w:rsidRPr="008146B2" w:rsidRDefault="00CE09FD" w:rsidP="00CF6C88">
            <w:pPr>
              <w:rPr>
                <w:rFonts w:cstheme="minorHAnsi"/>
                <w:b/>
                <w:bCs/>
              </w:rPr>
            </w:pPr>
            <w:bookmarkStart w:id="39" w:name="_Hlk174346240"/>
            <w:r w:rsidRPr="007F468E">
              <w:rPr>
                <w:rFonts w:cstheme="minorHAnsi"/>
                <w:b/>
                <w:bCs/>
              </w:rPr>
              <w:t>Trieda</w:t>
            </w:r>
          </w:p>
        </w:tc>
        <w:tc>
          <w:tcPr>
            <w:tcW w:w="6513" w:type="dxa"/>
            <w:shd w:val="clear" w:color="auto" w:fill="BDD6EE" w:themeFill="accent1" w:themeFillTint="66"/>
          </w:tcPr>
          <w:p w14:paraId="4391521D" w14:textId="77777777" w:rsidR="00CE09FD" w:rsidRPr="008146B2" w:rsidRDefault="00CE09FD" w:rsidP="00CF6C88">
            <w:pPr>
              <w:rPr>
                <w:rFonts w:cstheme="minorHAnsi"/>
                <w:b/>
                <w:bCs/>
              </w:rPr>
            </w:pPr>
            <w:r w:rsidRPr="008146B2">
              <w:rPr>
                <w:rFonts w:cstheme="minorHAnsi"/>
                <w:b/>
                <w:bCs/>
              </w:rPr>
              <w:t xml:space="preserve">11 – Zásoby </w:t>
            </w:r>
          </w:p>
        </w:tc>
      </w:tr>
      <w:bookmarkEnd w:id="39"/>
      <w:tr w:rsidR="00CE09FD" w:rsidRPr="0054336F" w14:paraId="2D764102" w14:textId="77777777" w:rsidTr="00EC01B6">
        <w:trPr>
          <w:trHeight w:val="2028"/>
        </w:trPr>
        <w:tc>
          <w:tcPr>
            <w:tcW w:w="2547" w:type="dxa"/>
            <w:tcBorders>
              <w:bottom w:val="single" w:sz="4" w:space="0" w:color="auto"/>
            </w:tcBorders>
            <w:shd w:val="clear" w:color="auto" w:fill="F2F2F2" w:themeFill="background1" w:themeFillShade="F2"/>
          </w:tcPr>
          <w:p w14:paraId="023602E1" w14:textId="77777777" w:rsidR="00CE09FD" w:rsidRPr="008146B2" w:rsidRDefault="00CE09FD" w:rsidP="00CF6C88">
            <w:pPr>
              <w:rPr>
                <w:rFonts w:cstheme="minorHAnsi"/>
                <w:b/>
                <w:bCs/>
              </w:rPr>
            </w:pPr>
            <w:r w:rsidRPr="008146B2">
              <w:rPr>
                <w:rFonts w:cstheme="minorHAnsi"/>
                <w:b/>
                <w:bCs/>
              </w:rPr>
              <w:t xml:space="preserve">112 </w:t>
            </w:r>
            <w:r w:rsidRPr="009848A7">
              <w:rPr>
                <w:rFonts w:cstheme="minorHAnsi"/>
                <w:b/>
                <w:bCs/>
              </w:rPr>
              <w:t>-</w:t>
            </w:r>
            <w:r>
              <w:rPr>
                <w:rFonts w:cstheme="minorHAnsi"/>
                <w:b/>
                <w:bCs/>
              </w:rPr>
              <w:t xml:space="preserve"> </w:t>
            </w:r>
            <w:r w:rsidRPr="008146B2">
              <w:rPr>
                <w:rFonts w:cstheme="minorHAnsi"/>
                <w:b/>
                <w:bCs/>
              </w:rPr>
              <w:t>Zásoby</w:t>
            </w:r>
            <w:r w:rsidRPr="008146B2">
              <w:rPr>
                <w:rStyle w:val="Odkaznapoznmkupodiarou"/>
                <w:rFonts w:cstheme="minorHAnsi"/>
                <w:b/>
                <w:bCs/>
              </w:rPr>
              <w:footnoteReference w:id="12"/>
            </w:r>
          </w:p>
        </w:tc>
        <w:tc>
          <w:tcPr>
            <w:tcW w:w="6513" w:type="dxa"/>
            <w:tcBorders>
              <w:bottom w:val="single" w:sz="4" w:space="0" w:color="auto"/>
            </w:tcBorders>
          </w:tcPr>
          <w:p w14:paraId="6D192237" w14:textId="77777777" w:rsidR="00CE09FD" w:rsidRPr="008146B2" w:rsidRDefault="00CE09FD" w:rsidP="00CF6C88">
            <w:pPr>
              <w:rPr>
                <w:rFonts w:cstheme="minorHAnsi"/>
                <w:b/>
                <w:bCs/>
              </w:rPr>
            </w:pPr>
            <w:r>
              <w:rPr>
                <w:rFonts w:cstheme="minorHAnsi"/>
                <w:b/>
                <w:bCs/>
              </w:rPr>
              <w:t>v</w:t>
            </w:r>
            <w:r w:rsidRPr="008146B2">
              <w:rPr>
                <w:rFonts w:cstheme="minorHAnsi"/>
                <w:b/>
                <w:bCs/>
              </w:rPr>
              <w:t>ybavenie</w:t>
            </w:r>
            <w:r>
              <w:rPr>
                <w:rFonts w:cstheme="minorHAnsi"/>
                <w:b/>
                <w:bCs/>
              </w:rPr>
              <w:t>:</w:t>
            </w:r>
          </w:p>
          <w:p w14:paraId="1F066CEE" w14:textId="2E9388B9" w:rsidR="00CE09FD" w:rsidRDefault="00C56505" w:rsidP="00591D29">
            <w:pPr>
              <w:pStyle w:val="Odsekzoznamu"/>
              <w:numPr>
                <w:ilvl w:val="0"/>
                <w:numId w:val="6"/>
              </w:numPr>
              <w:jc w:val="both"/>
              <w:rPr>
                <w:rFonts w:cstheme="minorHAnsi"/>
              </w:rPr>
            </w:pPr>
            <w:r>
              <w:rPr>
                <w:rFonts w:cstheme="minorHAnsi"/>
              </w:rPr>
              <w:t>interiérové vybavenie</w:t>
            </w:r>
            <w:r w:rsidR="00CE09FD" w:rsidRPr="008146B2">
              <w:rPr>
                <w:rFonts w:cstheme="minorHAnsi"/>
              </w:rPr>
              <w:t xml:space="preserve"> </w:t>
            </w:r>
            <w:r>
              <w:rPr>
                <w:rFonts w:cstheme="minorHAnsi"/>
              </w:rPr>
              <w:t>–</w:t>
            </w:r>
            <w:r w:rsidR="00CE09FD" w:rsidRPr="008146B2">
              <w:rPr>
                <w:rFonts w:cstheme="minorHAnsi"/>
              </w:rPr>
              <w:t xml:space="preserve"> </w:t>
            </w:r>
            <w:r>
              <w:rPr>
                <w:rFonts w:cstheme="minorHAnsi"/>
              </w:rPr>
              <w:t xml:space="preserve">zariadenie na prípravu stravy </w:t>
            </w:r>
            <w:r w:rsidR="00CE09FD" w:rsidRPr="008146B2">
              <w:rPr>
                <w:rFonts w:cstheme="minorHAnsi"/>
              </w:rPr>
              <w:t>(</w:t>
            </w:r>
            <w:r>
              <w:rPr>
                <w:rFonts w:cstheme="minorHAnsi"/>
              </w:rPr>
              <w:t>elektrická varná doska alebo plynová varná doska</w:t>
            </w:r>
            <w:r w:rsidR="00C366FC">
              <w:rPr>
                <w:rFonts w:cstheme="minorHAnsi"/>
              </w:rPr>
              <w:t xml:space="preserve"> vrátane vstavanej elektrickej rúry alebo samostatne stojaci sporák</w:t>
            </w:r>
            <w:r w:rsidR="00901018">
              <w:rPr>
                <w:rFonts w:cstheme="minorHAnsi"/>
              </w:rPr>
              <w:t xml:space="preserve"> - </w:t>
            </w:r>
            <w:r w:rsidR="00C366FC">
              <w:rPr>
                <w:rFonts w:cstheme="minorHAnsi"/>
              </w:rPr>
              <w:t>elektrický/plynový/kombinovaný</w:t>
            </w:r>
            <w:r>
              <w:rPr>
                <w:rFonts w:cstheme="minorHAnsi"/>
              </w:rPr>
              <w:t>), zariadenie na bezpečn</w:t>
            </w:r>
            <w:r w:rsidR="00591D29">
              <w:rPr>
                <w:rFonts w:cstheme="minorHAnsi"/>
              </w:rPr>
              <w:t>é</w:t>
            </w:r>
            <w:r>
              <w:rPr>
                <w:rFonts w:cstheme="minorHAnsi"/>
              </w:rPr>
              <w:t xml:space="preserve"> uskladnenie </w:t>
            </w:r>
            <w:r w:rsidR="00591D29">
              <w:rPr>
                <w:rFonts w:cstheme="minorHAnsi"/>
              </w:rPr>
              <w:t xml:space="preserve">a uchovanie </w:t>
            </w:r>
            <w:r>
              <w:rPr>
                <w:rFonts w:cstheme="minorHAnsi"/>
              </w:rPr>
              <w:t>potravín (chladnička</w:t>
            </w:r>
            <w:r w:rsidR="00B501B7">
              <w:rPr>
                <w:rFonts w:cstheme="minorHAnsi"/>
              </w:rPr>
              <w:t xml:space="preserve"> s mraziacou priehradkou</w:t>
            </w:r>
            <w:r>
              <w:rPr>
                <w:rFonts w:cstheme="minorHAnsi"/>
              </w:rPr>
              <w:t xml:space="preserve"> alebo chladnička s mrazničkou</w:t>
            </w:r>
            <w:r w:rsidR="00CE09FD" w:rsidRPr="008146B2">
              <w:rPr>
                <w:rFonts w:cstheme="minorHAnsi"/>
              </w:rPr>
              <w:t>) - výlučne v prípade, že verejné obstarávanie sa uskutoční samostatne, t.</w:t>
            </w:r>
            <w:r w:rsidR="00591D29">
              <w:rPr>
                <w:rFonts w:cstheme="minorHAnsi"/>
              </w:rPr>
              <w:t xml:space="preserve"> </w:t>
            </w:r>
            <w:r w:rsidR="00CE09FD" w:rsidRPr="008146B2">
              <w:rPr>
                <w:rFonts w:cstheme="minorHAnsi"/>
              </w:rPr>
              <w:t xml:space="preserve">j. mimo stavebných prác uvedených v skupine výdavkov 021 </w:t>
            </w:r>
            <w:r w:rsidR="00A24D61">
              <w:rPr>
                <w:rFonts w:cstheme="minorHAnsi"/>
              </w:rPr>
              <w:t>–</w:t>
            </w:r>
            <w:r w:rsidR="00CE09FD" w:rsidRPr="008146B2">
              <w:rPr>
                <w:rFonts w:cstheme="minorHAnsi"/>
              </w:rPr>
              <w:t xml:space="preserve"> Stavby</w:t>
            </w:r>
          </w:p>
          <w:p w14:paraId="5DCD7109" w14:textId="2F95C07E" w:rsidR="00A24D61" w:rsidRPr="00591D29" w:rsidRDefault="00A24D61" w:rsidP="00A93EB1">
            <w:pPr>
              <w:pStyle w:val="Odsekzoznamu"/>
              <w:jc w:val="both"/>
              <w:rPr>
                <w:rFonts w:cstheme="minorHAnsi"/>
              </w:rPr>
            </w:pPr>
          </w:p>
        </w:tc>
      </w:tr>
      <w:tr w:rsidR="00E95B4A" w:rsidRPr="008146B2" w14:paraId="17C3754B" w14:textId="77777777" w:rsidTr="00EC01B6">
        <w:tc>
          <w:tcPr>
            <w:tcW w:w="2547" w:type="dxa"/>
            <w:shd w:val="clear" w:color="auto" w:fill="BDD6EE" w:themeFill="accent1" w:themeFillTint="66"/>
          </w:tcPr>
          <w:p w14:paraId="66376B64" w14:textId="77777777" w:rsidR="00E95B4A" w:rsidRPr="008146B2" w:rsidRDefault="00E95B4A" w:rsidP="0043406D">
            <w:pPr>
              <w:rPr>
                <w:rFonts w:cstheme="minorHAnsi"/>
                <w:b/>
                <w:bCs/>
              </w:rPr>
            </w:pPr>
            <w:r w:rsidRPr="007F468E">
              <w:rPr>
                <w:rFonts w:cstheme="minorHAnsi"/>
                <w:b/>
                <w:bCs/>
              </w:rPr>
              <w:t>Trieda</w:t>
            </w:r>
          </w:p>
        </w:tc>
        <w:tc>
          <w:tcPr>
            <w:tcW w:w="6513" w:type="dxa"/>
            <w:shd w:val="clear" w:color="auto" w:fill="BDD6EE" w:themeFill="accent1" w:themeFillTint="66"/>
          </w:tcPr>
          <w:p w14:paraId="771FBDDB" w14:textId="51FC5654" w:rsidR="00E95B4A" w:rsidRPr="008146B2" w:rsidRDefault="00E95B4A" w:rsidP="0043406D">
            <w:pPr>
              <w:rPr>
                <w:rFonts w:cstheme="minorHAnsi"/>
                <w:b/>
                <w:bCs/>
              </w:rPr>
            </w:pPr>
            <w:r>
              <w:rPr>
                <w:rFonts w:cstheme="minorHAnsi"/>
                <w:b/>
                <w:bCs/>
              </w:rPr>
              <w:t>51</w:t>
            </w:r>
            <w:r w:rsidRPr="008146B2">
              <w:rPr>
                <w:rFonts w:cstheme="minorHAnsi"/>
                <w:b/>
                <w:bCs/>
              </w:rPr>
              <w:t xml:space="preserve"> – </w:t>
            </w:r>
            <w:r>
              <w:rPr>
                <w:rFonts w:cstheme="minorHAnsi"/>
                <w:b/>
                <w:bCs/>
              </w:rPr>
              <w:t>Služby</w:t>
            </w:r>
          </w:p>
        </w:tc>
      </w:tr>
      <w:tr w:rsidR="00E95B4A" w:rsidRPr="0054336F" w14:paraId="0BEAA03E" w14:textId="77777777" w:rsidTr="00EC01B6">
        <w:trPr>
          <w:trHeight w:val="2028"/>
        </w:trPr>
        <w:tc>
          <w:tcPr>
            <w:tcW w:w="2547" w:type="dxa"/>
            <w:tcBorders>
              <w:bottom w:val="single" w:sz="4" w:space="0" w:color="auto"/>
            </w:tcBorders>
            <w:shd w:val="clear" w:color="auto" w:fill="F2F2F2" w:themeFill="background1" w:themeFillShade="F2"/>
          </w:tcPr>
          <w:p w14:paraId="451E706B" w14:textId="715D1A4E" w:rsidR="00E95B4A" w:rsidRPr="008146B2" w:rsidRDefault="00EC01B6" w:rsidP="00CF6C88">
            <w:pPr>
              <w:rPr>
                <w:rFonts w:cstheme="minorHAnsi"/>
                <w:b/>
                <w:bCs/>
              </w:rPr>
            </w:pPr>
            <w:r w:rsidRPr="00EC01B6">
              <w:rPr>
                <w:rFonts w:cstheme="minorHAnsi"/>
                <w:b/>
                <w:bCs/>
              </w:rPr>
              <w:t>518-C - Ostatné služby - krížové financovanie</w:t>
            </w:r>
          </w:p>
        </w:tc>
        <w:tc>
          <w:tcPr>
            <w:tcW w:w="6513" w:type="dxa"/>
            <w:tcBorders>
              <w:bottom w:val="single" w:sz="4" w:space="0" w:color="auto"/>
            </w:tcBorders>
          </w:tcPr>
          <w:p w14:paraId="12AF4BDC" w14:textId="77777777" w:rsidR="00976233" w:rsidRPr="00A93EB1" w:rsidRDefault="00887B0E" w:rsidP="00BD37AB">
            <w:pPr>
              <w:pStyle w:val="Odsekzoznamu"/>
              <w:numPr>
                <w:ilvl w:val="0"/>
                <w:numId w:val="6"/>
              </w:numPr>
              <w:rPr>
                <w:rFonts w:cstheme="minorHAnsi"/>
                <w:b/>
                <w:bCs/>
              </w:rPr>
            </w:pPr>
            <w:r w:rsidRPr="00BD37AB">
              <w:rPr>
                <w:rFonts w:cstheme="minorHAnsi"/>
                <w:b/>
                <w:bCs/>
              </w:rPr>
              <w:t xml:space="preserve">výdavky </w:t>
            </w:r>
            <w:r w:rsidR="004508A3" w:rsidRPr="00BD37AB">
              <w:rPr>
                <w:rFonts w:cstheme="minorHAnsi"/>
                <w:b/>
                <w:bCs/>
              </w:rPr>
              <w:t xml:space="preserve">prijímateľa </w:t>
            </w:r>
            <w:r w:rsidRPr="00BD37AB">
              <w:rPr>
                <w:rFonts w:cstheme="minorHAnsi"/>
                <w:b/>
                <w:bCs/>
              </w:rPr>
              <w:t>súvisiace s výkonom činnosti asistenta bývania</w:t>
            </w:r>
          </w:p>
          <w:p w14:paraId="2B6BE0FF" w14:textId="6FE7FA8D" w:rsidR="00BD37AB" w:rsidRPr="00A93EB1" w:rsidRDefault="00976233" w:rsidP="00A93EB1">
            <w:pPr>
              <w:pStyle w:val="Odsekzoznamu"/>
              <w:rPr>
                <w:rFonts w:cstheme="minorHAnsi"/>
                <w:b/>
                <w:bCs/>
              </w:rPr>
            </w:pPr>
            <w:r>
              <w:rPr>
                <w:rFonts w:cstheme="minorHAnsi"/>
                <w:b/>
                <w:bCs/>
              </w:rPr>
              <w:t xml:space="preserve">- </w:t>
            </w:r>
            <w:r w:rsidR="00BD37AB" w:rsidRPr="00A93EB1">
              <w:rPr>
                <w:rFonts w:cstheme="minorHAnsi"/>
              </w:rPr>
              <w:t>ide o poskytovanie služieb súvisiacich s asistenciou bývania, ktoré sú obstarané dodávateľsky</w:t>
            </w:r>
          </w:p>
          <w:p w14:paraId="4AA9A3EA" w14:textId="48F02C17" w:rsidR="00976233" w:rsidRPr="00BD37AB" w:rsidRDefault="00976233" w:rsidP="00A93EB1">
            <w:pPr>
              <w:pStyle w:val="Odsekzoznamu"/>
              <w:rPr>
                <w:rFonts w:cstheme="minorHAnsi"/>
                <w:b/>
                <w:bCs/>
              </w:rPr>
            </w:pPr>
            <w:r>
              <w:rPr>
                <w:rFonts w:cstheme="minorHAnsi"/>
                <w:b/>
                <w:bCs/>
              </w:rPr>
              <w:t xml:space="preserve"> - </w:t>
            </w:r>
            <w:r w:rsidRPr="00A93EB1">
              <w:rPr>
                <w:rFonts w:cstheme="minorHAnsi"/>
                <w:bCs/>
              </w:rPr>
              <w:t>opis pracovných činností je uvedený v Prílohe č. 10 – Zásady a podmienky sociálneho bývania</w:t>
            </w:r>
          </w:p>
          <w:p w14:paraId="58CFB554" w14:textId="77777777" w:rsidR="00976233" w:rsidRDefault="00976233" w:rsidP="00976233">
            <w:pPr>
              <w:rPr>
                <w:rFonts w:ascii="Calibri" w:eastAsia="Times New Roman" w:hAnsi="Calibri" w:cs="Calibri"/>
                <w:b/>
                <w:bCs/>
                <w:kern w:val="0"/>
                <w:lang w:eastAsia="sk-SK"/>
                <w14:ligatures w14:val="none"/>
              </w:rPr>
            </w:pPr>
          </w:p>
          <w:p w14:paraId="78BDD79E" w14:textId="34F0A1C0" w:rsidR="00976233" w:rsidRPr="00B11E48" w:rsidRDefault="00976233" w:rsidP="00976233">
            <w:pPr>
              <w:rPr>
                <w:rFonts w:ascii="Calibri" w:eastAsia="Times New Roman" w:hAnsi="Calibri" w:cs="Calibri"/>
                <w:kern w:val="0"/>
                <w:lang w:eastAsia="sk-SK"/>
                <w14:ligatures w14:val="none"/>
              </w:rPr>
            </w:pPr>
            <w:r w:rsidRPr="00976233">
              <w:rPr>
                <w:rFonts w:ascii="Calibri" w:eastAsia="Times New Roman" w:hAnsi="Calibri" w:cs="Calibri"/>
                <w:b/>
                <w:bCs/>
                <w:kern w:val="0"/>
                <w:lang w:eastAsia="sk-SK"/>
                <w14:ligatures w14:val="none"/>
              </w:rPr>
              <w:t>Minimálne kvalifikačné predpoklady asistenta bývania</w:t>
            </w:r>
            <w:r w:rsidR="00A839C0">
              <w:rPr>
                <w:rFonts w:ascii="Calibri" w:eastAsia="Times New Roman" w:hAnsi="Calibri" w:cs="Calibri"/>
                <w:b/>
                <w:bCs/>
                <w:kern w:val="0"/>
                <w:lang w:eastAsia="sk-SK"/>
                <w14:ligatures w14:val="none"/>
              </w:rPr>
              <w:t xml:space="preserve"> </w:t>
            </w:r>
            <w:r w:rsidR="00052846" w:rsidRPr="00052846">
              <w:rPr>
                <w:rFonts w:ascii="Calibri" w:eastAsia="Times New Roman" w:hAnsi="Calibri" w:cs="Calibri"/>
                <w:b/>
                <w:bCs/>
                <w:kern w:val="0"/>
                <w:lang w:eastAsia="sk-SK"/>
                <w14:ligatures w14:val="none"/>
              </w:rPr>
              <w:t>(</w:t>
            </w:r>
            <w:proofErr w:type="spellStart"/>
            <w:r w:rsidR="00052846" w:rsidRPr="00052846">
              <w:rPr>
                <w:rFonts w:ascii="Calibri" w:eastAsia="Times New Roman" w:hAnsi="Calibri" w:cs="Calibri"/>
                <w:b/>
                <w:bCs/>
                <w:kern w:val="0"/>
                <w:lang w:eastAsia="sk-SK"/>
                <w14:ligatures w14:val="none"/>
              </w:rPr>
              <w:t>kherutno</w:t>
            </w:r>
            <w:proofErr w:type="spellEnd"/>
            <w:r w:rsidR="00052846" w:rsidRPr="00052846">
              <w:rPr>
                <w:rFonts w:ascii="Calibri" w:eastAsia="Times New Roman" w:hAnsi="Calibri" w:cs="Calibri"/>
                <w:b/>
                <w:bCs/>
                <w:kern w:val="0"/>
                <w:lang w:eastAsia="sk-SK"/>
                <w14:ligatures w14:val="none"/>
              </w:rPr>
              <w:t>/</w:t>
            </w:r>
            <w:proofErr w:type="spellStart"/>
            <w:r w:rsidR="00052846" w:rsidRPr="00052846">
              <w:rPr>
                <w:rFonts w:ascii="Calibri" w:eastAsia="Times New Roman" w:hAnsi="Calibri" w:cs="Calibri"/>
                <w:b/>
                <w:bCs/>
                <w:kern w:val="0"/>
                <w:lang w:eastAsia="sk-SK"/>
                <w14:ligatures w14:val="none"/>
              </w:rPr>
              <w:t>kherutňi</w:t>
            </w:r>
            <w:proofErr w:type="spellEnd"/>
            <w:r w:rsidR="00052846">
              <w:rPr>
                <w:rStyle w:val="Odkaznapoznmkupodiarou"/>
                <w:rFonts w:ascii="Calibri" w:eastAsia="Times New Roman" w:hAnsi="Calibri" w:cs="Calibri"/>
                <w:b/>
                <w:bCs/>
                <w:kern w:val="0"/>
                <w:lang w:eastAsia="sk-SK"/>
                <w14:ligatures w14:val="none"/>
              </w:rPr>
              <w:footnoteReference w:id="13"/>
            </w:r>
            <w:r w:rsidR="00052846" w:rsidRPr="00052846">
              <w:rPr>
                <w:rFonts w:ascii="Calibri" w:eastAsia="Times New Roman" w:hAnsi="Calibri" w:cs="Calibri"/>
                <w:b/>
                <w:bCs/>
                <w:kern w:val="0"/>
                <w:lang w:eastAsia="sk-SK"/>
                <w14:ligatures w14:val="none"/>
              </w:rPr>
              <w:t xml:space="preserve">) </w:t>
            </w:r>
            <w:r w:rsidR="00052846" w:rsidRPr="000C35CF">
              <w:rPr>
                <w:rFonts w:ascii="Calibri" w:eastAsia="Times New Roman" w:hAnsi="Calibri" w:cs="Calibri"/>
                <w:kern w:val="0"/>
                <w:lang w:eastAsia="sk-SK"/>
                <w14:ligatures w14:val="none"/>
              </w:rPr>
              <w:t>(ďalej len „asistent bývania“)</w:t>
            </w:r>
            <w:r w:rsidRPr="000C35CF">
              <w:rPr>
                <w:rFonts w:ascii="Calibri" w:eastAsia="Times New Roman" w:hAnsi="Calibri" w:cs="Calibri"/>
                <w:kern w:val="0"/>
                <w:lang w:eastAsia="sk-SK"/>
                <w14:ligatures w14:val="none"/>
              </w:rPr>
              <w:t>:</w:t>
            </w:r>
          </w:p>
          <w:p w14:paraId="2605C0F6" w14:textId="7622A6F1" w:rsidR="00976233" w:rsidRPr="00976233" w:rsidRDefault="00976233" w:rsidP="00976233">
            <w:pPr>
              <w:rPr>
                <w:rFonts w:ascii="Calibri" w:eastAsia="Times New Roman" w:hAnsi="Calibri" w:cs="Calibri"/>
                <w:kern w:val="0"/>
                <w:lang w:eastAsia="sk-SK"/>
                <w14:ligatures w14:val="none"/>
              </w:rPr>
            </w:pPr>
            <w:r w:rsidRPr="00976233">
              <w:rPr>
                <w:rFonts w:ascii="Calibri" w:eastAsia="Times New Roman" w:hAnsi="Calibri" w:cs="Calibri"/>
                <w:kern w:val="0"/>
                <w:lang w:eastAsia="sk-SK"/>
                <w14:ligatures w14:val="none"/>
              </w:rPr>
              <w:t>Úplné stredné odborné vzdelanie v zmysle § 16 ods. 4 písm. d) Zákona č. 245/2008 Z. z. o výchove a vzdelávaní (školský zákon) a o zmene a doplnení niektorých zákonov</w:t>
            </w:r>
            <w:r w:rsidR="00965342">
              <w:t xml:space="preserve"> </w:t>
            </w:r>
            <w:r w:rsidR="00965342" w:rsidRPr="00965342">
              <w:rPr>
                <w:rFonts w:ascii="Calibri" w:eastAsia="Times New Roman" w:hAnsi="Calibri" w:cs="Calibri"/>
                <w:kern w:val="0"/>
                <w:lang w:eastAsia="sk-SK"/>
                <w14:ligatures w14:val="none"/>
              </w:rPr>
              <w:t>v znení neskorších predpisov</w:t>
            </w:r>
            <w:r w:rsidRPr="00976233">
              <w:rPr>
                <w:rFonts w:ascii="Calibri" w:eastAsia="Times New Roman" w:hAnsi="Calibri" w:cs="Calibri"/>
                <w:kern w:val="0"/>
                <w:lang w:eastAsia="sk-SK"/>
                <w14:ligatures w14:val="none"/>
              </w:rPr>
              <w:t>.</w:t>
            </w:r>
          </w:p>
          <w:p w14:paraId="3BCB939C" w14:textId="43ABE098" w:rsidR="00BD37AB" w:rsidRPr="00A93EB1" w:rsidRDefault="00976233" w:rsidP="00A93EB1">
            <w:pPr>
              <w:spacing w:before="120" w:after="120"/>
              <w:jc w:val="both"/>
              <w:rPr>
                <w:rFonts w:cstheme="minorHAnsi"/>
                <w:b/>
                <w:bCs/>
              </w:rPr>
            </w:pPr>
            <w:r>
              <w:rPr>
                <w:rFonts w:cstheme="minorHAnsi"/>
              </w:rPr>
              <w:t>U</w:t>
            </w:r>
            <w:r w:rsidRPr="00DC3E7F">
              <w:rPr>
                <w:rFonts w:cstheme="minorHAnsi"/>
              </w:rPr>
              <w:t xml:space="preserve">rčenie počtu bytových jednotiek na asistenta bývania je uvedený v časti </w:t>
            </w:r>
            <w:r>
              <w:rPr>
                <w:rFonts w:cstheme="minorHAnsi"/>
              </w:rPr>
              <w:t>Benchmarky a finančné limity</w:t>
            </w:r>
            <w:r w:rsidRPr="00DC3E7F">
              <w:rPr>
                <w:rFonts w:cstheme="minorHAnsi"/>
              </w:rPr>
              <w:t xml:space="preserve"> tohto dokumentu.</w:t>
            </w:r>
          </w:p>
        </w:tc>
      </w:tr>
      <w:tr w:rsidR="005B1DB0" w:rsidRPr="0054336F" w14:paraId="5B6FC171" w14:textId="77777777" w:rsidTr="00EC01B6">
        <w:tc>
          <w:tcPr>
            <w:tcW w:w="2547" w:type="dxa"/>
            <w:shd w:val="clear" w:color="auto" w:fill="BDD6EE" w:themeFill="accent1" w:themeFillTint="66"/>
          </w:tcPr>
          <w:p w14:paraId="75190874" w14:textId="77777777" w:rsidR="005B1DB0" w:rsidRPr="006464F8" w:rsidRDefault="005B1DB0" w:rsidP="007B7A0E">
            <w:pPr>
              <w:rPr>
                <w:rFonts w:cstheme="minorHAnsi"/>
                <w:b/>
                <w:bCs/>
              </w:rPr>
            </w:pPr>
            <w:r w:rsidRPr="006464F8">
              <w:rPr>
                <w:b/>
              </w:rPr>
              <w:t xml:space="preserve">Trieda </w:t>
            </w:r>
          </w:p>
        </w:tc>
        <w:tc>
          <w:tcPr>
            <w:tcW w:w="6513" w:type="dxa"/>
            <w:shd w:val="clear" w:color="auto" w:fill="BDD6EE" w:themeFill="accent1" w:themeFillTint="66"/>
          </w:tcPr>
          <w:p w14:paraId="5C664B9E" w14:textId="54227DC6" w:rsidR="005B1DB0" w:rsidRPr="006464F8" w:rsidRDefault="005B1DB0" w:rsidP="005B1DB0">
            <w:pPr>
              <w:rPr>
                <w:rFonts w:cstheme="minorHAnsi"/>
                <w:b/>
                <w:bCs/>
              </w:rPr>
            </w:pPr>
            <w:r>
              <w:rPr>
                <w:b/>
              </w:rPr>
              <w:t>52</w:t>
            </w:r>
            <w:r w:rsidRPr="006464F8">
              <w:rPr>
                <w:b/>
              </w:rPr>
              <w:t xml:space="preserve"> – </w:t>
            </w:r>
            <w:r>
              <w:rPr>
                <w:b/>
              </w:rPr>
              <w:t>Osobné výdavky</w:t>
            </w:r>
          </w:p>
        </w:tc>
      </w:tr>
      <w:tr w:rsidR="005B1DB0" w:rsidRPr="0054336F" w14:paraId="3A508D77" w14:textId="77777777" w:rsidTr="00EC01B6">
        <w:tc>
          <w:tcPr>
            <w:tcW w:w="2547" w:type="dxa"/>
            <w:shd w:val="clear" w:color="auto" w:fill="auto"/>
          </w:tcPr>
          <w:p w14:paraId="695CEC1B" w14:textId="24E00725" w:rsidR="005B1DB0" w:rsidRPr="008146B2" w:rsidRDefault="00EC01B6" w:rsidP="005B1DB0">
            <w:pPr>
              <w:rPr>
                <w:rFonts w:cstheme="minorHAnsi"/>
                <w:b/>
                <w:bCs/>
              </w:rPr>
            </w:pPr>
            <w:r w:rsidRPr="00EC01B6">
              <w:rPr>
                <w:rFonts w:cstheme="minorHAnsi"/>
                <w:b/>
                <w:bCs/>
              </w:rPr>
              <w:t>521-C - Mzdové výdavky - krížové financovanie</w:t>
            </w:r>
          </w:p>
        </w:tc>
        <w:tc>
          <w:tcPr>
            <w:tcW w:w="6513" w:type="dxa"/>
            <w:shd w:val="clear" w:color="auto" w:fill="auto"/>
          </w:tcPr>
          <w:p w14:paraId="4809A41A" w14:textId="77777777" w:rsidR="00976233" w:rsidRDefault="00751AAA" w:rsidP="00A93EB1">
            <w:pPr>
              <w:pStyle w:val="Odsekzoznamu"/>
              <w:numPr>
                <w:ilvl w:val="0"/>
                <w:numId w:val="6"/>
              </w:numPr>
              <w:jc w:val="both"/>
              <w:rPr>
                <w:rFonts w:cstheme="minorHAnsi"/>
              </w:rPr>
            </w:pPr>
            <w:r w:rsidRPr="00A93EB1">
              <w:rPr>
                <w:rFonts w:cstheme="minorHAnsi"/>
                <w:b/>
              </w:rPr>
              <w:t>mzdové výdavky prijímateľa</w:t>
            </w:r>
            <w:r w:rsidRPr="00DC3E7F">
              <w:rPr>
                <w:rFonts w:cstheme="minorHAnsi"/>
              </w:rPr>
              <w:t xml:space="preserve"> </w:t>
            </w:r>
          </w:p>
          <w:p w14:paraId="2C9C618C" w14:textId="6269BA70" w:rsidR="00751AAA" w:rsidRDefault="00976233" w:rsidP="00A93EB1">
            <w:pPr>
              <w:ind w:left="736"/>
              <w:jc w:val="both"/>
              <w:rPr>
                <w:rFonts w:cstheme="minorHAnsi"/>
              </w:rPr>
            </w:pPr>
            <w:r w:rsidRPr="00976233">
              <w:rPr>
                <w:rFonts w:cstheme="minorHAnsi"/>
              </w:rPr>
              <w:t>-</w:t>
            </w:r>
            <w:r>
              <w:rPr>
                <w:rFonts w:cstheme="minorHAnsi"/>
              </w:rPr>
              <w:t xml:space="preserve"> ide o v</w:t>
            </w:r>
            <w:r w:rsidR="00751AAA" w:rsidRPr="000E067D">
              <w:rPr>
                <w:rFonts w:cstheme="minorHAnsi"/>
              </w:rPr>
              <w:t>ýdavky súvisiace s výkonom činnosti asistenta bývania</w:t>
            </w:r>
            <w:r>
              <w:rPr>
                <w:rFonts w:cstheme="minorHAnsi"/>
              </w:rPr>
              <w:t xml:space="preserve"> (</w:t>
            </w:r>
            <w:r w:rsidR="00751AAA" w:rsidRPr="000E067D">
              <w:rPr>
                <w:rFonts w:cstheme="minorHAnsi"/>
              </w:rPr>
              <w:t>poskytovanie služieb súvisiacich s asistenciou bývania interného zamestnanca, alebo zamestnanca mimo pracovného pomeru</w:t>
            </w:r>
            <w:r w:rsidR="00751AAA">
              <w:rPr>
                <w:rStyle w:val="Odkaznapoznmkupodiarou"/>
                <w:rFonts w:cstheme="minorHAnsi"/>
              </w:rPr>
              <w:footnoteReference w:id="14"/>
            </w:r>
            <w:r>
              <w:rPr>
                <w:rFonts w:cstheme="minorHAnsi"/>
              </w:rPr>
              <w:t>)</w:t>
            </w:r>
          </w:p>
          <w:p w14:paraId="192FB483" w14:textId="026142E2" w:rsidR="00976233" w:rsidRPr="00BD37AB" w:rsidRDefault="00976233" w:rsidP="00976233">
            <w:pPr>
              <w:pStyle w:val="Odsekzoznamu"/>
              <w:rPr>
                <w:rFonts w:cstheme="minorHAnsi"/>
                <w:b/>
                <w:bCs/>
              </w:rPr>
            </w:pPr>
            <w:r>
              <w:rPr>
                <w:rFonts w:cstheme="minorHAnsi"/>
                <w:bCs/>
              </w:rPr>
              <w:t xml:space="preserve"> -  </w:t>
            </w:r>
            <w:r w:rsidRPr="000F1E52">
              <w:rPr>
                <w:rFonts w:cstheme="minorHAnsi"/>
                <w:bCs/>
              </w:rPr>
              <w:t>opis pracovných činností je uvedený v Prílohe č. 10 – Zásady a podmienky sociálneho bývania</w:t>
            </w:r>
          </w:p>
          <w:p w14:paraId="0D224FF4" w14:textId="77777777" w:rsidR="00976233" w:rsidRPr="000E067D" w:rsidRDefault="00976233" w:rsidP="00A93EB1">
            <w:pPr>
              <w:ind w:left="736"/>
              <w:jc w:val="both"/>
              <w:rPr>
                <w:rFonts w:cstheme="minorHAnsi"/>
              </w:rPr>
            </w:pPr>
          </w:p>
          <w:p w14:paraId="0A016216" w14:textId="7C22E7A5" w:rsidR="00976233" w:rsidRPr="00976233" w:rsidRDefault="00976233" w:rsidP="00976233">
            <w:pPr>
              <w:rPr>
                <w:rFonts w:ascii="Calibri" w:eastAsia="Times New Roman" w:hAnsi="Calibri" w:cs="Calibri"/>
                <w:kern w:val="0"/>
                <w:lang w:eastAsia="sk-SK"/>
                <w14:ligatures w14:val="none"/>
              </w:rPr>
            </w:pPr>
            <w:r w:rsidRPr="00976233">
              <w:rPr>
                <w:rFonts w:ascii="Calibri" w:eastAsia="Times New Roman" w:hAnsi="Calibri" w:cs="Calibri"/>
                <w:b/>
                <w:bCs/>
                <w:kern w:val="0"/>
                <w:lang w:eastAsia="sk-SK"/>
                <w14:ligatures w14:val="none"/>
              </w:rPr>
              <w:t>Minimálne kvalifikačné predpoklady asistenta bývania:</w:t>
            </w:r>
          </w:p>
          <w:p w14:paraId="721CAD19" w14:textId="16E3616F" w:rsidR="00976233" w:rsidRPr="00976233" w:rsidRDefault="00976233" w:rsidP="00976233">
            <w:pPr>
              <w:rPr>
                <w:rFonts w:ascii="Calibri" w:eastAsia="Times New Roman" w:hAnsi="Calibri" w:cs="Calibri"/>
                <w:kern w:val="0"/>
                <w:lang w:eastAsia="sk-SK"/>
                <w14:ligatures w14:val="none"/>
              </w:rPr>
            </w:pPr>
            <w:r w:rsidRPr="00976233">
              <w:rPr>
                <w:rFonts w:ascii="Calibri" w:eastAsia="Times New Roman" w:hAnsi="Calibri" w:cs="Calibri"/>
                <w:kern w:val="0"/>
                <w:lang w:eastAsia="sk-SK"/>
                <w14:ligatures w14:val="none"/>
              </w:rPr>
              <w:lastRenderedPageBreak/>
              <w:t>Úplné stredné odborné vzdelanie v zmysle § 16 ods. 4 písm. d) Zákona č. 245/2008 Z. z. o výchove a vzdelávaní (školský zákon) a o zmene a doplnení niektorých zákonov</w:t>
            </w:r>
            <w:r w:rsidR="008F6012">
              <w:t xml:space="preserve"> </w:t>
            </w:r>
            <w:r w:rsidR="008F6012" w:rsidRPr="008F6012">
              <w:rPr>
                <w:rFonts w:ascii="Calibri" w:eastAsia="Times New Roman" w:hAnsi="Calibri" w:cs="Calibri"/>
                <w:kern w:val="0"/>
                <w:lang w:eastAsia="sk-SK"/>
                <w14:ligatures w14:val="none"/>
              </w:rPr>
              <w:t>v znení neskorších predpisov</w:t>
            </w:r>
            <w:r w:rsidRPr="00976233">
              <w:rPr>
                <w:rFonts w:ascii="Calibri" w:eastAsia="Times New Roman" w:hAnsi="Calibri" w:cs="Calibri"/>
                <w:kern w:val="0"/>
                <w:lang w:eastAsia="sk-SK"/>
                <w14:ligatures w14:val="none"/>
              </w:rPr>
              <w:t>.</w:t>
            </w:r>
          </w:p>
          <w:p w14:paraId="096890CB" w14:textId="77777777" w:rsidR="00DC3E7F" w:rsidRDefault="00DC3E7F" w:rsidP="00751AAA">
            <w:pPr>
              <w:autoSpaceDE w:val="0"/>
              <w:autoSpaceDN w:val="0"/>
              <w:adjustRightInd w:val="0"/>
              <w:jc w:val="both"/>
              <w:rPr>
                <w:b/>
              </w:rPr>
            </w:pPr>
          </w:p>
          <w:p w14:paraId="724F289D" w14:textId="77777777" w:rsidR="00751AAA" w:rsidRPr="00736DAA" w:rsidRDefault="00751AAA" w:rsidP="00751AAA">
            <w:pPr>
              <w:autoSpaceDE w:val="0"/>
              <w:autoSpaceDN w:val="0"/>
              <w:adjustRightInd w:val="0"/>
              <w:jc w:val="both"/>
              <w:rPr>
                <w:b/>
              </w:rPr>
            </w:pPr>
            <w:r w:rsidRPr="00736DAA">
              <w:rPr>
                <w:b/>
              </w:rPr>
              <w:t>Oprávnené výdavky</w:t>
            </w:r>
          </w:p>
          <w:p w14:paraId="61D5FAA1" w14:textId="77777777" w:rsidR="00751AAA" w:rsidRPr="00832602" w:rsidRDefault="00751AAA" w:rsidP="00751AAA">
            <w:r w:rsidRPr="00832602">
              <w:t xml:space="preserve">Oprávnené výdavky zahŕňajú hrubú mzdu a povinné odvody platené zamestnávateľom v zmysle platnej legislatívy (Zákon č. 461/2003 Z. z. o sociálnom poistení v znení neskorších predpisov (ďalej len „zákon o sociálnom poistení“), Zákon č. 580/2004 Z. z. o zdravotnom poistení a o zmene a doplnení zákona č. 95/2002 Z. z. o poisťovníctve a o zmene a doplnení niektorých zákonov v znení neskorších predpisov (ďalej len „Zákon o zdravotnom poistení“). </w:t>
            </w:r>
          </w:p>
          <w:p w14:paraId="68FCEC65" w14:textId="77777777" w:rsidR="00751AAA" w:rsidRDefault="00751AAA" w:rsidP="00751AAA">
            <w:r w:rsidRPr="00832602">
              <w:t xml:space="preserve">Žiadateľ/prijímateľ postupuje pri zamestnávaní zamestnancov v súlade so zákonníkom práce a ostatnou platnou legislatívou. </w:t>
            </w:r>
          </w:p>
          <w:p w14:paraId="4A05CCD6" w14:textId="77777777" w:rsidR="00751AAA" w:rsidRPr="00832602" w:rsidRDefault="00751AAA" w:rsidP="00751AAA">
            <w:r w:rsidRPr="00832602">
              <w:t xml:space="preserve">Zamestnanec musí mať uzatvorenú pracovnú zmluvu s prijímateľom na ustanovený týždenný pracovný čas, alebo kratší pracovný čas v rozsahu </w:t>
            </w:r>
            <w:r>
              <w:t xml:space="preserve">20 % </w:t>
            </w:r>
            <w:r w:rsidRPr="00832602">
              <w:t>ustanoveného týždenného pracovného času</w:t>
            </w:r>
            <w:r>
              <w:t xml:space="preserve"> alebo 50 %</w:t>
            </w:r>
            <w:r w:rsidRPr="00832602">
              <w:t xml:space="preserve"> ustanoveného týždenného pracovného času. </w:t>
            </w:r>
          </w:p>
          <w:p w14:paraId="5B900808" w14:textId="77777777" w:rsidR="00751AAA" w:rsidRDefault="00751AAA" w:rsidP="00751AAA"/>
          <w:p w14:paraId="3F90F006" w14:textId="77777777" w:rsidR="00751AAA" w:rsidRPr="00736DAA" w:rsidRDefault="00751AAA" w:rsidP="00751AAA">
            <w:pPr>
              <w:autoSpaceDE w:val="0"/>
              <w:autoSpaceDN w:val="0"/>
              <w:adjustRightInd w:val="0"/>
              <w:jc w:val="both"/>
              <w:rPr>
                <w:b/>
              </w:rPr>
            </w:pPr>
            <w:r>
              <w:rPr>
                <w:b/>
              </w:rPr>
              <w:t>Podmienky financovania</w:t>
            </w:r>
          </w:p>
          <w:p w14:paraId="3654FD35" w14:textId="77777777" w:rsidR="00751AAA" w:rsidRPr="00832602" w:rsidRDefault="00751AAA" w:rsidP="00751AAA">
            <w:r w:rsidRPr="00832602">
              <w:t xml:space="preserve">Žiadateľ/prijímateľ je povinný dodržiavať pravidlo neprekrývania sa výdavkov. Za neoprávnené sa budú považovať výdavky v prípade identifikácie prekrývania sa pracovného času zamestnanca žiadateľa/prijímateľa pracujúceho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w:t>
            </w:r>
          </w:p>
          <w:p w14:paraId="7582AAB9" w14:textId="77777777" w:rsidR="00751AAA" w:rsidRPr="00832602" w:rsidRDefault="00751AAA" w:rsidP="00751AAA">
            <w:r w:rsidRPr="00832602">
              <w:t>Nie je možné akceptovať navýšenie mzdy, resp. odmeny za vykonanú prácu iba z dôvodu prác vykonávaných na projekte financovaného z prostriedkov EŠIF (napr. rozdielne sadzby odmeňovania za práce vykonávané mimo aktivít projektu a za práce vykonávané na aktivitách projektu; rozdielne hodinové sadzby v prípade viacerých projektov tej istej funkcie u jednej osoby). Takéto navýšenie bude mať za následok vznik neoprávnených výdavkov v časti presahujúcej výšku rovnakej práce vykonávanej mimo projektu.</w:t>
            </w:r>
          </w:p>
          <w:p w14:paraId="4A1E028B" w14:textId="77777777" w:rsidR="00DC3E7F" w:rsidRDefault="00DC3E7F" w:rsidP="00A93EB1">
            <w:pPr>
              <w:autoSpaceDE w:val="0"/>
              <w:autoSpaceDN w:val="0"/>
              <w:adjustRightInd w:val="0"/>
              <w:jc w:val="both"/>
              <w:rPr>
                <w:rFonts w:cstheme="minorHAnsi"/>
              </w:rPr>
            </w:pPr>
          </w:p>
          <w:p w14:paraId="5F7BEBBB" w14:textId="77777777" w:rsidR="005B1DB0" w:rsidRDefault="00DC3E7F" w:rsidP="00A93EB1">
            <w:pPr>
              <w:autoSpaceDE w:val="0"/>
              <w:autoSpaceDN w:val="0"/>
              <w:adjustRightInd w:val="0"/>
              <w:jc w:val="both"/>
              <w:rPr>
                <w:rFonts w:cstheme="minorHAnsi"/>
              </w:rPr>
            </w:pPr>
            <w:r>
              <w:rPr>
                <w:rFonts w:cstheme="minorHAnsi"/>
              </w:rPr>
              <w:t>U</w:t>
            </w:r>
            <w:r w:rsidRPr="00DC3E7F">
              <w:rPr>
                <w:rFonts w:cstheme="minorHAnsi"/>
              </w:rPr>
              <w:t xml:space="preserve">rčenie počtu bytových jednotiek na asistenta bývania je uvedený v časti </w:t>
            </w:r>
            <w:r>
              <w:rPr>
                <w:rFonts w:cstheme="minorHAnsi"/>
              </w:rPr>
              <w:t>Benchmarky a finančné limity</w:t>
            </w:r>
            <w:r w:rsidRPr="00DC3E7F">
              <w:rPr>
                <w:rFonts w:cstheme="minorHAnsi"/>
              </w:rPr>
              <w:t xml:space="preserve"> tohto dokumentu.</w:t>
            </w:r>
          </w:p>
          <w:p w14:paraId="3541D9E2" w14:textId="3F70A522" w:rsidR="00A24D61" w:rsidRPr="00A93EB1" w:rsidRDefault="00A24D61" w:rsidP="00A93EB1">
            <w:pPr>
              <w:autoSpaceDE w:val="0"/>
              <w:autoSpaceDN w:val="0"/>
              <w:adjustRightInd w:val="0"/>
              <w:jc w:val="both"/>
              <w:rPr>
                <w:rFonts w:cstheme="minorHAnsi"/>
              </w:rPr>
            </w:pPr>
          </w:p>
        </w:tc>
      </w:tr>
      <w:tr w:rsidR="006464F8" w:rsidRPr="0054336F" w14:paraId="537242E6" w14:textId="77777777" w:rsidTr="00EC01B6">
        <w:tc>
          <w:tcPr>
            <w:tcW w:w="2547" w:type="dxa"/>
            <w:shd w:val="clear" w:color="auto" w:fill="BDD6EE" w:themeFill="accent1" w:themeFillTint="66"/>
          </w:tcPr>
          <w:p w14:paraId="7F749D34" w14:textId="3422F367" w:rsidR="006464F8" w:rsidRPr="006464F8" w:rsidRDefault="006464F8" w:rsidP="006464F8">
            <w:pPr>
              <w:rPr>
                <w:rFonts w:cstheme="minorHAnsi"/>
                <w:b/>
                <w:bCs/>
              </w:rPr>
            </w:pPr>
            <w:r w:rsidRPr="006464F8">
              <w:rPr>
                <w:b/>
              </w:rPr>
              <w:lastRenderedPageBreak/>
              <w:t xml:space="preserve">Trieda </w:t>
            </w:r>
          </w:p>
        </w:tc>
        <w:tc>
          <w:tcPr>
            <w:tcW w:w="6513" w:type="dxa"/>
            <w:shd w:val="clear" w:color="auto" w:fill="BDD6EE" w:themeFill="accent1" w:themeFillTint="66"/>
          </w:tcPr>
          <w:p w14:paraId="37BFC841" w14:textId="14CD6C51" w:rsidR="006464F8" w:rsidRPr="006464F8" w:rsidRDefault="006464F8" w:rsidP="006464F8">
            <w:pPr>
              <w:rPr>
                <w:rFonts w:cstheme="minorHAnsi"/>
                <w:b/>
                <w:bCs/>
              </w:rPr>
            </w:pPr>
            <w:r w:rsidRPr="006464F8">
              <w:rPr>
                <w:b/>
              </w:rPr>
              <w:t>90 – Zjednodušené vykazovanie výdavkov</w:t>
            </w:r>
          </w:p>
        </w:tc>
      </w:tr>
      <w:tr w:rsidR="006464F8" w:rsidRPr="0054336F" w14:paraId="61A5422C" w14:textId="77777777" w:rsidTr="00EC01B6">
        <w:tc>
          <w:tcPr>
            <w:tcW w:w="2547" w:type="dxa"/>
            <w:shd w:val="clear" w:color="auto" w:fill="auto"/>
          </w:tcPr>
          <w:p w14:paraId="75632988" w14:textId="0BB5B60A" w:rsidR="006464F8" w:rsidRPr="008146B2" w:rsidRDefault="006464F8" w:rsidP="00CF6C88">
            <w:pPr>
              <w:rPr>
                <w:rFonts w:cstheme="minorHAnsi"/>
                <w:b/>
                <w:bCs/>
              </w:rPr>
            </w:pPr>
            <w:r w:rsidRPr="008146B2">
              <w:rPr>
                <w:rFonts w:cstheme="minorHAnsi"/>
                <w:b/>
                <w:bCs/>
              </w:rPr>
              <w:t>907</w:t>
            </w:r>
            <w:r>
              <w:rPr>
                <w:rFonts w:cstheme="minorHAnsi"/>
                <w:b/>
                <w:bCs/>
              </w:rPr>
              <w:t xml:space="preserve"> - </w:t>
            </w:r>
            <w:r w:rsidRPr="008146B2">
              <w:rPr>
                <w:rFonts w:cstheme="minorHAnsi"/>
                <w:b/>
                <w:bCs/>
              </w:rPr>
              <w:t>Paušálna sadzba na nepriame výdavky podľa článku 54 písm. a)</w:t>
            </w:r>
            <w:r w:rsidRPr="008146B2">
              <w:rPr>
                <w:rFonts w:cstheme="minorHAnsi"/>
              </w:rPr>
              <w:t xml:space="preserve"> </w:t>
            </w:r>
            <w:r w:rsidRPr="008146B2">
              <w:rPr>
                <w:rFonts w:cstheme="minorHAnsi"/>
                <w:b/>
                <w:bCs/>
              </w:rPr>
              <w:t>NSU</w:t>
            </w:r>
          </w:p>
        </w:tc>
        <w:tc>
          <w:tcPr>
            <w:tcW w:w="6513" w:type="dxa"/>
            <w:shd w:val="clear" w:color="auto" w:fill="auto"/>
          </w:tcPr>
          <w:p w14:paraId="6F6187A3" w14:textId="55E09467" w:rsidR="006464F8" w:rsidRDefault="006464F8" w:rsidP="006464F8">
            <w:pPr>
              <w:jc w:val="both"/>
              <w:rPr>
                <w:rFonts w:cstheme="minorHAnsi"/>
              </w:rPr>
            </w:pPr>
            <w:r w:rsidRPr="00945C92">
              <w:rPr>
                <w:rFonts w:cstheme="minorHAnsi"/>
              </w:rPr>
              <w:t>Preukazovanie výdavkov prostredníctvom zjednodušených foriem vykazovania</w:t>
            </w:r>
            <w:r>
              <w:rPr>
                <w:rFonts w:cstheme="minorHAnsi"/>
              </w:rPr>
              <w:t>:</w:t>
            </w:r>
          </w:p>
          <w:p w14:paraId="23AA21A4" w14:textId="77777777" w:rsidR="00A24D61" w:rsidRPr="00945C92" w:rsidRDefault="00A24D61" w:rsidP="006464F8">
            <w:pPr>
              <w:jc w:val="both"/>
              <w:rPr>
                <w:rFonts w:cstheme="minorHAnsi"/>
              </w:rPr>
            </w:pPr>
          </w:p>
          <w:p w14:paraId="0B9D79EB" w14:textId="393E11E3" w:rsidR="006464F8" w:rsidRPr="00945C92" w:rsidRDefault="006464F8" w:rsidP="006464F8">
            <w:pPr>
              <w:pStyle w:val="Odsekzoznamu"/>
              <w:numPr>
                <w:ilvl w:val="0"/>
                <w:numId w:val="9"/>
              </w:numPr>
              <w:jc w:val="both"/>
              <w:rPr>
                <w:rFonts w:cstheme="minorHAnsi"/>
                <w:b/>
                <w:bCs/>
              </w:rPr>
            </w:pPr>
            <w:r w:rsidRPr="00945C92">
              <w:rPr>
                <w:rFonts w:cstheme="minorHAnsi"/>
                <w:b/>
                <w:bCs/>
              </w:rPr>
              <w:t xml:space="preserve">paušálna sadzba na nepriame výdavky podľa článku 54 písm. a) NSU – paušálna sadzba na pokrytie nepriamych výdavkov </w:t>
            </w:r>
            <w:r w:rsidRPr="00945C92">
              <w:rPr>
                <w:rFonts w:cstheme="minorHAnsi"/>
                <w:b/>
                <w:bCs/>
              </w:rPr>
              <w:lastRenderedPageBreak/>
              <w:t xml:space="preserve">do výšky </w:t>
            </w:r>
            <w:r w:rsidR="00E82C99">
              <w:rPr>
                <w:rFonts w:cstheme="minorHAnsi"/>
                <w:b/>
                <w:bCs/>
              </w:rPr>
              <w:t xml:space="preserve">2 </w:t>
            </w:r>
            <w:r w:rsidRPr="00945C92">
              <w:rPr>
                <w:rFonts w:cstheme="minorHAnsi"/>
                <w:b/>
                <w:bCs/>
              </w:rPr>
              <w:t>- 7% podľa oprávnených priamych nákladov</w:t>
            </w:r>
            <w:ins w:id="40" w:author="Hajdin Miloš" w:date="2025-04-07T11:12:00Z" w16du:dateUtc="2025-04-07T09:12:00Z">
              <w:r w:rsidR="007E3A66">
                <w:rPr>
                  <w:rFonts w:cstheme="minorHAnsi"/>
                  <w:b/>
                  <w:bCs/>
                </w:rPr>
                <w:t xml:space="preserve"> bez </w:t>
              </w:r>
            </w:ins>
            <w:ins w:id="41" w:author="Hajdin Miloš" w:date="2025-04-07T11:13:00Z" w16du:dateUtc="2025-04-07T09:13:00Z">
              <w:r w:rsidR="007E3A66">
                <w:rPr>
                  <w:rFonts w:cstheme="minorHAnsi"/>
                  <w:b/>
                  <w:bCs/>
                </w:rPr>
                <w:t xml:space="preserve">výdavkov na </w:t>
              </w:r>
            </w:ins>
            <w:ins w:id="42" w:author="Hajdin Miloš" w:date="2025-04-07T11:12:00Z" w16du:dateUtc="2025-04-07T09:12:00Z">
              <w:r w:rsidR="007E3A66">
                <w:rPr>
                  <w:rFonts w:cstheme="minorHAnsi"/>
                  <w:b/>
                  <w:bCs/>
                </w:rPr>
                <w:t>pozíci</w:t>
              </w:r>
            </w:ins>
            <w:ins w:id="43" w:author="Hajdin Miloš" w:date="2025-04-07T11:13:00Z" w16du:dateUtc="2025-04-07T09:13:00Z">
              <w:r w:rsidR="007E3A66">
                <w:rPr>
                  <w:rFonts w:cstheme="minorHAnsi"/>
                  <w:b/>
                  <w:bCs/>
                </w:rPr>
                <w:t>u asistenta bývania</w:t>
              </w:r>
            </w:ins>
            <w:ins w:id="44" w:author="Hajdin Miloš" w:date="2025-04-27T18:28:00Z" w16du:dateUtc="2025-04-27T16:28:00Z">
              <w:r w:rsidR="00B90A20">
                <w:rPr>
                  <w:rStyle w:val="Odkaznapoznmkupodiarou"/>
                  <w:rFonts w:cstheme="minorHAnsi"/>
                  <w:b/>
                  <w:bCs/>
                </w:rPr>
                <w:footnoteReference w:id="15"/>
              </w:r>
            </w:ins>
          </w:p>
          <w:p w14:paraId="783D45A2" w14:textId="7503F7BD" w:rsidR="00A24D61" w:rsidRPr="00C13453" w:rsidRDefault="006464F8" w:rsidP="006464F8">
            <w:pPr>
              <w:rPr>
                <w:rFonts w:cstheme="minorHAnsi"/>
                <w:i/>
                <w:iCs/>
              </w:rPr>
            </w:pPr>
            <w:r w:rsidRPr="00945C92">
              <w:rPr>
                <w:rFonts w:cstheme="minorHAnsi"/>
                <w:i/>
                <w:iCs/>
              </w:rPr>
              <w:t xml:space="preserve">Pozn.: Definícia nepriamych výdavkov a ich kategorizácia je uvedená v prílohe č. 1 </w:t>
            </w:r>
            <w:r>
              <w:rPr>
                <w:rFonts w:cstheme="minorHAnsi"/>
                <w:i/>
                <w:iCs/>
              </w:rPr>
              <w:t xml:space="preserve">- </w:t>
            </w:r>
            <w:r w:rsidRPr="00945C92">
              <w:rPr>
                <w:rFonts w:cstheme="minorHAnsi"/>
                <w:i/>
                <w:iCs/>
              </w:rPr>
              <w:t>Kategórie nepriamych výdavkov k Príručke k oprávnenosti výdavkov. Výdavky na riadenie projektu</w:t>
            </w:r>
            <w:r w:rsidRPr="00945C92">
              <w:rPr>
                <w:rStyle w:val="Odkaznapoznmkupodiarou"/>
                <w:rFonts w:cstheme="minorHAnsi"/>
                <w:i/>
                <w:iCs/>
              </w:rPr>
              <w:footnoteReference w:id="16"/>
            </w:r>
            <w:r w:rsidRPr="00945C92">
              <w:rPr>
                <w:rFonts w:cstheme="minorHAnsi"/>
                <w:i/>
                <w:iCs/>
              </w:rPr>
              <w:t xml:space="preserve"> sa členia medzi nepriame výdavky, a teda rovnako spadajú pod ZVV</w:t>
            </w:r>
          </w:p>
        </w:tc>
      </w:tr>
      <w:tr w:rsidR="007E3A66" w:rsidRPr="0054336F" w14:paraId="617B8AD8" w14:textId="77777777" w:rsidTr="00EC01B6">
        <w:trPr>
          <w:ins w:id="52" w:author="Hajdin Miloš" w:date="2025-04-07T11:09:00Z"/>
        </w:trPr>
        <w:tc>
          <w:tcPr>
            <w:tcW w:w="2547" w:type="dxa"/>
            <w:shd w:val="clear" w:color="auto" w:fill="auto"/>
          </w:tcPr>
          <w:p w14:paraId="47211F1B" w14:textId="27C812FD" w:rsidR="007E3A66" w:rsidRPr="008146B2" w:rsidRDefault="007E3A66" w:rsidP="007E3A66">
            <w:pPr>
              <w:rPr>
                <w:ins w:id="53" w:author="Hajdin Miloš" w:date="2025-04-07T11:09:00Z" w16du:dateUtc="2025-04-07T09:09:00Z"/>
                <w:rFonts w:cstheme="minorHAnsi"/>
                <w:b/>
                <w:bCs/>
              </w:rPr>
            </w:pPr>
            <w:ins w:id="54" w:author="Hajdin Miloš" w:date="2025-04-07T11:09:00Z" w16du:dateUtc="2025-04-07T09:09:00Z">
              <w:r w:rsidRPr="006464F8">
                <w:rPr>
                  <w:b/>
                </w:rPr>
                <w:lastRenderedPageBreak/>
                <w:t xml:space="preserve">Trieda </w:t>
              </w:r>
            </w:ins>
          </w:p>
        </w:tc>
        <w:tc>
          <w:tcPr>
            <w:tcW w:w="6513" w:type="dxa"/>
            <w:shd w:val="clear" w:color="auto" w:fill="auto"/>
          </w:tcPr>
          <w:p w14:paraId="5CB3316A" w14:textId="418D3FF6" w:rsidR="007E3A66" w:rsidRPr="00945C92" w:rsidRDefault="007E3A66" w:rsidP="007E3A66">
            <w:pPr>
              <w:jc w:val="both"/>
              <w:rPr>
                <w:ins w:id="55" w:author="Hajdin Miloš" w:date="2025-04-07T11:09:00Z" w16du:dateUtc="2025-04-07T09:09:00Z"/>
                <w:rFonts w:cstheme="minorHAnsi"/>
              </w:rPr>
            </w:pPr>
            <w:ins w:id="56" w:author="Hajdin Miloš" w:date="2025-04-07T11:09:00Z" w16du:dateUtc="2025-04-07T09:09:00Z">
              <w:r w:rsidRPr="006464F8">
                <w:rPr>
                  <w:b/>
                </w:rPr>
                <w:t>90 – Zjednodušené vykazovanie výdavkov</w:t>
              </w:r>
            </w:ins>
          </w:p>
        </w:tc>
      </w:tr>
      <w:tr w:rsidR="007E3A66" w:rsidRPr="0054336F" w14:paraId="6335B664" w14:textId="77777777" w:rsidTr="007E3A66">
        <w:tblPrEx>
          <w:tblW w:w="0" w:type="auto"/>
          <w:tblPrExChange w:id="57" w:author="Hajdin Miloš" w:date="2025-04-07T11:10:00Z" w16du:dateUtc="2025-04-07T09:10:00Z">
            <w:tblPrEx>
              <w:tblW w:w="0" w:type="auto"/>
            </w:tblPrEx>
          </w:tblPrExChange>
        </w:tblPrEx>
        <w:trPr>
          <w:ins w:id="58" w:author="Hajdin Miloš" w:date="2025-04-07T11:09:00Z"/>
        </w:trPr>
        <w:tc>
          <w:tcPr>
            <w:tcW w:w="2547" w:type="dxa"/>
            <w:shd w:val="clear" w:color="auto" w:fill="FFFFFF" w:themeFill="background1"/>
            <w:tcPrChange w:id="59" w:author="Hajdin Miloš" w:date="2025-04-07T11:10:00Z" w16du:dateUtc="2025-04-07T09:10:00Z">
              <w:tcPr>
                <w:tcW w:w="2547" w:type="dxa"/>
                <w:shd w:val="clear" w:color="auto" w:fill="auto"/>
              </w:tcPr>
            </w:tcPrChange>
          </w:tcPr>
          <w:p w14:paraId="5B8A6A6A" w14:textId="108DFEE4" w:rsidR="007E3A66" w:rsidRPr="008146B2" w:rsidRDefault="007E3A66" w:rsidP="007E3A66">
            <w:pPr>
              <w:rPr>
                <w:ins w:id="60" w:author="Hajdin Miloš" w:date="2025-04-07T11:09:00Z" w16du:dateUtc="2025-04-07T09:09:00Z"/>
                <w:rFonts w:cstheme="minorHAnsi"/>
                <w:b/>
                <w:bCs/>
              </w:rPr>
            </w:pPr>
            <w:ins w:id="61" w:author="Hajdin Miloš" w:date="2025-04-07T11:09:00Z" w16du:dateUtc="2025-04-07T09:09:00Z">
              <w:r w:rsidRPr="008146B2">
                <w:rPr>
                  <w:rFonts w:cstheme="minorHAnsi"/>
                  <w:b/>
                  <w:bCs/>
                </w:rPr>
                <w:t>907</w:t>
              </w:r>
              <w:r>
                <w:rPr>
                  <w:rFonts w:cstheme="minorHAnsi"/>
                  <w:b/>
                  <w:bCs/>
                </w:rPr>
                <w:t xml:space="preserve"> - C - </w:t>
              </w:r>
              <w:r w:rsidRPr="008146B2">
                <w:rPr>
                  <w:rFonts w:cstheme="minorHAnsi"/>
                  <w:b/>
                  <w:bCs/>
                </w:rPr>
                <w:t>Paušálna sadzba na nepriame výdavky podľa článku 54 písm. a)</w:t>
              </w:r>
              <w:r w:rsidRPr="008146B2">
                <w:rPr>
                  <w:rFonts w:cstheme="minorHAnsi"/>
                </w:rPr>
                <w:t xml:space="preserve"> </w:t>
              </w:r>
              <w:r w:rsidRPr="008146B2">
                <w:rPr>
                  <w:rFonts w:cstheme="minorHAnsi"/>
                  <w:b/>
                  <w:bCs/>
                </w:rPr>
                <w:t>NSU</w:t>
              </w:r>
            </w:ins>
          </w:p>
        </w:tc>
        <w:tc>
          <w:tcPr>
            <w:tcW w:w="6513" w:type="dxa"/>
            <w:shd w:val="clear" w:color="auto" w:fill="FFFFFF" w:themeFill="background1"/>
            <w:tcPrChange w:id="62" w:author="Hajdin Miloš" w:date="2025-04-07T11:10:00Z" w16du:dateUtc="2025-04-07T09:10:00Z">
              <w:tcPr>
                <w:tcW w:w="6513" w:type="dxa"/>
                <w:shd w:val="clear" w:color="auto" w:fill="auto"/>
              </w:tcPr>
            </w:tcPrChange>
          </w:tcPr>
          <w:p w14:paraId="4649C95E" w14:textId="77777777" w:rsidR="007E3A66" w:rsidRDefault="007E3A66" w:rsidP="007E3A66">
            <w:pPr>
              <w:jc w:val="both"/>
              <w:rPr>
                <w:ins w:id="63" w:author="Hajdin Miloš" w:date="2025-04-07T11:10:00Z" w16du:dateUtc="2025-04-07T09:10:00Z"/>
                <w:rFonts w:cstheme="minorHAnsi"/>
              </w:rPr>
            </w:pPr>
            <w:ins w:id="64" w:author="Hajdin Miloš" w:date="2025-04-07T11:10:00Z" w16du:dateUtc="2025-04-07T09:10:00Z">
              <w:r w:rsidRPr="00945C92">
                <w:rPr>
                  <w:rFonts w:cstheme="minorHAnsi"/>
                </w:rPr>
                <w:t>Preukazovanie výdavkov prostredníctvom zjednodušených foriem vykazovania</w:t>
              </w:r>
              <w:r>
                <w:rPr>
                  <w:rFonts w:cstheme="minorHAnsi"/>
                </w:rPr>
                <w:t>:</w:t>
              </w:r>
            </w:ins>
          </w:p>
          <w:p w14:paraId="17BEEBED" w14:textId="77777777" w:rsidR="007E3A66" w:rsidRPr="00945C92" w:rsidRDefault="007E3A66" w:rsidP="007E3A66">
            <w:pPr>
              <w:jc w:val="both"/>
              <w:rPr>
                <w:ins w:id="65" w:author="Hajdin Miloš" w:date="2025-04-07T11:10:00Z" w16du:dateUtc="2025-04-07T09:10:00Z"/>
                <w:rFonts w:cstheme="minorHAnsi"/>
              </w:rPr>
            </w:pPr>
          </w:p>
          <w:p w14:paraId="126D8F3C" w14:textId="7262987E" w:rsidR="007E3A66" w:rsidRPr="00945C92" w:rsidRDefault="007E3A66" w:rsidP="007E3A66">
            <w:pPr>
              <w:pStyle w:val="Odsekzoznamu"/>
              <w:numPr>
                <w:ilvl w:val="0"/>
                <w:numId w:val="9"/>
              </w:numPr>
              <w:jc w:val="both"/>
              <w:rPr>
                <w:ins w:id="66" w:author="Hajdin Miloš" w:date="2025-04-07T11:10:00Z" w16du:dateUtc="2025-04-07T09:10:00Z"/>
                <w:rFonts w:cstheme="minorHAnsi"/>
                <w:b/>
                <w:bCs/>
              </w:rPr>
            </w:pPr>
            <w:ins w:id="67" w:author="Hajdin Miloš" w:date="2025-04-07T11:10:00Z" w16du:dateUtc="2025-04-07T09:10:00Z">
              <w:r w:rsidRPr="00945C92">
                <w:rPr>
                  <w:rFonts w:cstheme="minorHAnsi"/>
                  <w:b/>
                  <w:bCs/>
                </w:rPr>
                <w:t xml:space="preserve">paušálna sadzba na nepriame výdavky podľa článku 54 písm. a) NSU – paušálna sadzba na pokrytie nepriamych výdavkov do výšky </w:t>
              </w:r>
              <w:r>
                <w:rPr>
                  <w:rFonts w:cstheme="minorHAnsi"/>
                  <w:b/>
                  <w:bCs/>
                </w:rPr>
                <w:t xml:space="preserve">2 </w:t>
              </w:r>
              <w:r w:rsidRPr="00945C92">
                <w:rPr>
                  <w:rFonts w:cstheme="minorHAnsi"/>
                  <w:b/>
                  <w:bCs/>
                </w:rPr>
                <w:t>- 7% podľa oprávnených priamych nákladov</w:t>
              </w:r>
            </w:ins>
            <w:ins w:id="68" w:author="Hajdin Miloš" w:date="2025-04-07T11:11:00Z" w16du:dateUtc="2025-04-07T09:11:00Z">
              <w:r>
                <w:rPr>
                  <w:rFonts w:cstheme="minorHAnsi"/>
                  <w:b/>
                  <w:bCs/>
                </w:rPr>
                <w:t xml:space="preserve"> na pozíciu asistenta bývania</w:t>
              </w:r>
            </w:ins>
            <w:ins w:id="69" w:author="Hajdin Miloš" w:date="2025-04-27T18:28:00Z" w16du:dateUtc="2025-04-27T16:28:00Z">
              <w:r w:rsidR="00B90A20">
                <w:rPr>
                  <w:rStyle w:val="Odkaznapoznmkupodiarou"/>
                </w:rPr>
                <w:t>15</w:t>
              </w:r>
            </w:ins>
          </w:p>
          <w:p w14:paraId="68215E90" w14:textId="101CA3C0" w:rsidR="007E3A66" w:rsidRPr="00945C92" w:rsidRDefault="007E3A66" w:rsidP="007E3A66">
            <w:pPr>
              <w:jc w:val="both"/>
              <w:rPr>
                <w:ins w:id="70" w:author="Hajdin Miloš" w:date="2025-04-07T11:09:00Z" w16du:dateUtc="2025-04-07T09:09:00Z"/>
                <w:rFonts w:cstheme="minorHAnsi"/>
              </w:rPr>
            </w:pPr>
            <w:ins w:id="71" w:author="Hajdin Miloš" w:date="2025-04-07T11:10:00Z" w16du:dateUtc="2025-04-07T09:10:00Z">
              <w:r w:rsidRPr="00945C92">
                <w:rPr>
                  <w:rFonts w:cstheme="minorHAnsi"/>
                  <w:i/>
                  <w:iCs/>
                </w:rPr>
                <w:t xml:space="preserve">Pozn.: Definícia nepriamych výdavkov a ich kategorizácia je uvedená v prílohe č. 1 </w:t>
              </w:r>
              <w:r>
                <w:rPr>
                  <w:rFonts w:cstheme="minorHAnsi"/>
                  <w:i/>
                  <w:iCs/>
                </w:rPr>
                <w:t xml:space="preserve">- </w:t>
              </w:r>
              <w:r w:rsidRPr="00945C92">
                <w:rPr>
                  <w:rFonts w:cstheme="minorHAnsi"/>
                  <w:i/>
                  <w:iCs/>
                </w:rPr>
                <w:t>Kategórie nepriamych výdavkov k Príručke k oprávnenosti výdavkov. Výdavky na riadenie projektu</w:t>
              </w:r>
              <w:r w:rsidRPr="00945C92">
                <w:rPr>
                  <w:rStyle w:val="Odkaznapoznmkupodiarou"/>
                  <w:rFonts w:cstheme="minorHAnsi"/>
                  <w:i/>
                  <w:iCs/>
                </w:rPr>
                <w:footnoteReference w:id="17"/>
              </w:r>
              <w:r w:rsidRPr="00945C92">
                <w:rPr>
                  <w:rFonts w:cstheme="minorHAnsi"/>
                  <w:i/>
                  <w:iCs/>
                </w:rPr>
                <w:t xml:space="preserve"> sa členia medzi nepriame výdavky, a teda rovnako spadajú pod ZVV</w:t>
              </w:r>
            </w:ins>
          </w:p>
        </w:tc>
      </w:tr>
      <w:tr w:rsidR="007E3A66" w:rsidRPr="0054336F" w14:paraId="74756ACE" w14:textId="77777777" w:rsidTr="00EC01B6">
        <w:tc>
          <w:tcPr>
            <w:tcW w:w="2547" w:type="dxa"/>
            <w:shd w:val="clear" w:color="auto" w:fill="BDD6EE" w:themeFill="accent1" w:themeFillTint="66"/>
          </w:tcPr>
          <w:p w14:paraId="32756220" w14:textId="77777777" w:rsidR="007E3A66" w:rsidRPr="008146B2" w:rsidRDefault="007E3A66" w:rsidP="007E3A66">
            <w:pPr>
              <w:rPr>
                <w:rFonts w:cstheme="minorHAnsi"/>
                <w:b/>
                <w:bCs/>
              </w:rPr>
            </w:pPr>
            <w:r w:rsidRPr="008146B2">
              <w:rPr>
                <w:rFonts w:cstheme="minorHAnsi"/>
                <w:b/>
                <w:bCs/>
              </w:rPr>
              <w:t xml:space="preserve">Trieda </w:t>
            </w:r>
          </w:p>
        </w:tc>
        <w:tc>
          <w:tcPr>
            <w:tcW w:w="6513" w:type="dxa"/>
            <w:shd w:val="clear" w:color="auto" w:fill="BDD6EE" w:themeFill="accent1" w:themeFillTint="66"/>
          </w:tcPr>
          <w:p w14:paraId="5C423EF0" w14:textId="77777777" w:rsidR="007E3A66" w:rsidRPr="008146B2" w:rsidRDefault="007E3A66" w:rsidP="007E3A66">
            <w:pPr>
              <w:rPr>
                <w:rFonts w:cstheme="minorHAnsi"/>
                <w:b/>
                <w:bCs/>
              </w:rPr>
            </w:pPr>
            <w:r w:rsidRPr="008146B2">
              <w:rPr>
                <w:rFonts w:cstheme="minorHAnsi"/>
                <w:b/>
                <w:bCs/>
              </w:rPr>
              <w:t xml:space="preserve">93 </w:t>
            </w:r>
            <w:r w:rsidRPr="009848A7">
              <w:rPr>
                <w:rFonts w:cstheme="minorHAnsi"/>
                <w:b/>
                <w:bCs/>
              </w:rPr>
              <w:t>–</w:t>
            </w:r>
            <w:r w:rsidRPr="008146B2">
              <w:rPr>
                <w:rFonts w:cstheme="minorHAnsi"/>
                <w:b/>
                <w:bCs/>
              </w:rPr>
              <w:t xml:space="preserve"> Rezerva</w:t>
            </w:r>
          </w:p>
        </w:tc>
      </w:tr>
      <w:tr w:rsidR="007E3A66" w:rsidRPr="0054336F" w14:paraId="77B64A30" w14:textId="77777777" w:rsidTr="00EC01B6">
        <w:trPr>
          <w:trHeight w:val="4055"/>
        </w:trPr>
        <w:tc>
          <w:tcPr>
            <w:tcW w:w="2547" w:type="dxa"/>
            <w:shd w:val="clear" w:color="auto" w:fill="F2F2F2" w:themeFill="background1" w:themeFillShade="F2"/>
          </w:tcPr>
          <w:p w14:paraId="578F5712" w14:textId="77777777" w:rsidR="007E3A66" w:rsidRPr="00C366FC" w:rsidRDefault="007E3A66" w:rsidP="007E3A66">
            <w:pPr>
              <w:rPr>
                <w:rFonts w:cstheme="minorHAnsi"/>
                <w:b/>
                <w:bCs/>
              </w:rPr>
            </w:pPr>
            <w:r w:rsidRPr="00C366FC">
              <w:rPr>
                <w:rFonts w:cstheme="minorHAnsi"/>
                <w:b/>
                <w:bCs/>
              </w:rPr>
              <w:t>930 - Rezerva na nepredvídané výdavky</w:t>
            </w:r>
          </w:p>
        </w:tc>
        <w:tc>
          <w:tcPr>
            <w:tcW w:w="6513" w:type="dxa"/>
          </w:tcPr>
          <w:p w14:paraId="310C3FA8" w14:textId="77777777" w:rsidR="007E3A66" w:rsidRPr="00C366FC" w:rsidRDefault="007E3A66" w:rsidP="007E3A66">
            <w:pPr>
              <w:pStyle w:val="Odsekzoznamu"/>
              <w:numPr>
                <w:ilvl w:val="0"/>
                <w:numId w:val="7"/>
              </w:numPr>
              <w:jc w:val="both"/>
              <w:rPr>
                <w:rFonts w:cstheme="minorHAnsi"/>
              </w:rPr>
            </w:pPr>
            <w:r w:rsidRPr="00C366FC">
              <w:rPr>
                <w:rFonts w:cstheme="minorHAnsi"/>
              </w:rPr>
              <w:t>výdavky na rezervu na nepredvídané výdavky sú oprávnenými výdavkami za splnenia podmienky, že výdavky na rezervu na nepredvídané výdavky súvisiace so stavebnými prácami</w:t>
            </w:r>
            <w:r w:rsidRPr="00C366FC">
              <w:rPr>
                <w:rStyle w:val="Odkaznapoznmkupodiarou"/>
                <w:rFonts w:cstheme="minorHAnsi"/>
              </w:rPr>
              <w:footnoteReference w:id="18"/>
            </w:r>
            <w:r w:rsidRPr="00C366FC">
              <w:rPr>
                <w:rFonts w:cstheme="minorHAnsi"/>
              </w:rPr>
              <w:t xml:space="preserve"> nepresiahnu sumu </w:t>
            </w:r>
            <w:r w:rsidRPr="00C366FC">
              <w:rPr>
                <w:rFonts w:cstheme="minorHAnsi"/>
                <w:b/>
                <w:bCs/>
              </w:rPr>
              <w:t xml:space="preserve">5 % </w:t>
            </w:r>
            <w:r w:rsidRPr="00C366FC">
              <w:rPr>
                <w:rFonts w:cstheme="minorHAnsi"/>
              </w:rPr>
              <w:t>z celkových oprávnených výdavkov na stavebné práce s DPH</w:t>
            </w:r>
          </w:p>
          <w:p w14:paraId="3DF2DC02" w14:textId="77777777" w:rsidR="007E3A66" w:rsidRPr="00C366FC" w:rsidRDefault="007E3A66" w:rsidP="007E3A66">
            <w:pPr>
              <w:pStyle w:val="Odsekzoznamu"/>
              <w:numPr>
                <w:ilvl w:val="0"/>
                <w:numId w:val="7"/>
              </w:numPr>
              <w:jc w:val="both"/>
              <w:rPr>
                <w:rFonts w:cstheme="minorHAnsi"/>
              </w:rPr>
            </w:pPr>
            <w:r w:rsidRPr="00C366FC">
              <w:rPr>
                <w:rFonts w:cstheme="minorHAnsi"/>
              </w:rPr>
              <w:t>čerpanie rezervy na nepredvídané výdavky je možné len na základe kladného rozhodnutia SO o zmene projektu, a len v prípade, ak ide o výdavky, ktorých vznik  nebolo možné v čase pred začatím verejného obstarávania predvídať (nepredvídateľnosť sa posudzuje v súlade s definíciou pre „Okolnosť vylučujúca zodpovednosť“ podľa Zmluvy o poskytnutí NFP)</w:t>
            </w:r>
          </w:p>
          <w:p w14:paraId="5854AB5A" w14:textId="17F1E601" w:rsidR="007E3A66" w:rsidRPr="00C366FC" w:rsidRDefault="007E3A66" w:rsidP="007E3A66">
            <w:pPr>
              <w:pStyle w:val="Odsekzoznamu"/>
              <w:numPr>
                <w:ilvl w:val="0"/>
                <w:numId w:val="7"/>
              </w:numPr>
              <w:jc w:val="both"/>
              <w:rPr>
                <w:rFonts w:cstheme="minorHAnsi"/>
                <w:b/>
                <w:bCs/>
              </w:rPr>
            </w:pPr>
            <w:r w:rsidRPr="00C366FC">
              <w:rPr>
                <w:rFonts w:cstheme="minorHAnsi"/>
              </w:rPr>
              <w:t>uplatnenie rezervy na nepredvídané výdavky sa realizuje prostredníctvom konkrétnej skupiny oprávnených výdavkov a musí spĺňať všeobecné podmienky oprávnenosti a podmienky oprávnenosti P SK</w:t>
            </w:r>
          </w:p>
        </w:tc>
      </w:tr>
    </w:tbl>
    <w:p w14:paraId="27490F72" w14:textId="00F398FD" w:rsidR="00CE09FD" w:rsidRDefault="00CE09FD" w:rsidP="00401177">
      <w:pPr>
        <w:spacing w:after="0"/>
        <w:rPr>
          <w:rFonts w:cstheme="minorHAnsi"/>
          <w:b/>
          <w:bCs/>
          <w:sz w:val="24"/>
          <w:szCs w:val="24"/>
        </w:rPr>
      </w:pPr>
    </w:p>
    <w:p w14:paraId="38E25391" w14:textId="0C9AF3B1" w:rsidR="00CE09FD" w:rsidRDefault="00CE09FD" w:rsidP="00CE09FD">
      <w:pPr>
        <w:rPr>
          <w:rFonts w:eastAsiaTheme="majorEastAsia" w:cstheme="minorHAnsi"/>
          <w:b/>
          <w:bCs/>
          <w:color w:val="2E74B5" w:themeColor="accent1" w:themeShade="BF"/>
          <w:sz w:val="28"/>
          <w:szCs w:val="28"/>
        </w:rPr>
      </w:pPr>
      <w:r w:rsidRPr="0054336F">
        <w:rPr>
          <w:rFonts w:eastAsiaTheme="majorEastAsia" w:cstheme="minorHAnsi"/>
          <w:b/>
          <w:bCs/>
          <w:color w:val="2E74B5" w:themeColor="accent1" w:themeShade="BF"/>
          <w:sz w:val="28"/>
          <w:szCs w:val="28"/>
        </w:rPr>
        <w:t>Benchmarky a finančné limity</w:t>
      </w:r>
    </w:p>
    <w:p w14:paraId="03376A11" w14:textId="77777777" w:rsidR="005E3274" w:rsidRPr="008146B2" w:rsidRDefault="005E3274" w:rsidP="00401177">
      <w:pPr>
        <w:rPr>
          <w:rFonts w:cstheme="minorHAnsi"/>
        </w:rPr>
      </w:pPr>
      <w:r w:rsidRPr="008146B2">
        <w:rPr>
          <w:rFonts w:cstheme="minorHAnsi"/>
        </w:rPr>
        <w:lastRenderedPageBreak/>
        <w:t>Benchmarky sú stanovené na:</w:t>
      </w:r>
    </w:p>
    <w:p w14:paraId="7FECB56F" w14:textId="0FDF11B6" w:rsidR="005E3274" w:rsidRDefault="005E3274" w:rsidP="005E3274">
      <w:pPr>
        <w:spacing w:after="0"/>
        <w:ind w:firstLine="708"/>
        <w:jc w:val="both"/>
        <w:rPr>
          <w:rFonts w:cstheme="minorHAnsi"/>
        </w:rPr>
      </w:pPr>
      <w:r w:rsidRPr="008146B2">
        <w:rPr>
          <w:rFonts w:cstheme="minorHAnsi"/>
        </w:rPr>
        <w:t>- na jednotku plochy (</w:t>
      </w:r>
      <w:r w:rsidRPr="0054336F">
        <w:rPr>
          <w:rFonts w:cstheme="minorHAnsi"/>
        </w:rPr>
        <w:t>m</w:t>
      </w:r>
      <w:r w:rsidRPr="009327F4">
        <w:rPr>
          <w:rFonts w:cstheme="minorHAnsi"/>
          <w:vertAlign w:val="superscript"/>
        </w:rPr>
        <w:t>2</w:t>
      </w:r>
      <w:r w:rsidRPr="008146B2">
        <w:rPr>
          <w:rFonts w:cstheme="minorHAnsi"/>
        </w:rPr>
        <w:t xml:space="preserve">) </w:t>
      </w:r>
      <w:r w:rsidR="00682118">
        <w:rPr>
          <w:rFonts w:cstheme="minorHAnsi"/>
        </w:rPr>
        <w:t>podlahovej plochy bytu pre obstaranie nájomného bytu novou výstavbou a pre obstaranie nájomného bytu stavebnými úpravami</w:t>
      </w:r>
    </w:p>
    <w:p w14:paraId="3DA2991E" w14:textId="5FE0362A" w:rsidR="00201D4C" w:rsidRDefault="00682118" w:rsidP="00201D4C">
      <w:pPr>
        <w:spacing w:after="0"/>
        <w:ind w:firstLine="708"/>
        <w:jc w:val="both"/>
        <w:rPr>
          <w:rFonts w:cstheme="minorHAnsi"/>
        </w:rPr>
      </w:pPr>
      <w:r>
        <w:rPr>
          <w:rFonts w:cstheme="minorHAnsi"/>
        </w:rPr>
        <w:t xml:space="preserve">- na jednotku </w:t>
      </w:r>
      <w:r w:rsidR="00201D4C">
        <w:rPr>
          <w:rFonts w:cstheme="minorHAnsi"/>
        </w:rPr>
        <w:t xml:space="preserve">dĺžky </w:t>
      </w:r>
      <w:r>
        <w:rPr>
          <w:rFonts w:cstheme="minorHAnsi"/>
        </w:rPr>
        <w:t>(</w:t>
      </w:r>
      <w:proofErr w:type="spellStart"/>
      <w:r>
        <w:rPr>
          <w:rFonts w:cstheme="minorHAnsi"/>
        </w:rPr>
        <w:t>mb</w:t>
      </w:r>
      <w:proofErr w:type="spellEnd"/>
      <w:r>
        <w:rPr>
          <w:rFonts w:cstheme="minorHAnsi"/>
        </w:rPr>
        <w:t xml:space="preserve">) </w:t>
      </w:r>
      <w:r w:rsidR="00201D4C">
        <w:rPr>
          <w:rFonts w:cstheme="minorHAnsi"/>
        </w:rPr>
        <w:t>technickej vybavenosti pre obstaranie vodovodnej prípojky a pre obstaranie kanalizačnej prípojky</w:t>
      </w:r>
      <w:r w:rsidR="003236EE">
        <w:rPr>
          <w:rFonts w:cstheme="minorHAnsi"/>
        </w:rPr>
        <w:t xml:space="preserve"> súvisiace s obstaraním nájomného bytu</w:t>
      </w:r>
    </w:p>
    <w:p w14:paraId="182E14C0" w14:textId="1B0D3012" w:rsidR="00201D4C" w:rsidRDefault="00201D4C" w:rsidP="00201D4C">
      <w:pPr>
        <w:spacing w:after="0"/>
        <w:ind w:firstLine="708"/>
        <w:jc w:val="both"/>
        <w:rPr>
          <w:rFonts w:cstheme="minorHAnsi"/>
        </w:rPr>
      </w:pPr>
      <w:r>
        <w:rPr>
          <w:rFonts w:cstheme="minorHAnsi"/>
        </w:rPr>
        <w:t xml:space="preserve"> - </w:t>
      </w:r>
      <w:r w:rsidRPr="00201D4C">
        <w:rPr>
          <w:rFonts w:cstheme="minorHAnsi"/>
        </w:rPr>
        <w:t xml:space="preserve">na jednotku </w:t>
      </w:r>
      <w:r>
        <w:rPr>
          <w:rFonts w:cstheme="minorHAnsi"/>
        </w:rPr>
        <w:t>plochy (m</w:t>
      </w:r>
      <w:r w:rsidRPr="009327F4">
        <w:rPr>
          <w:rFonts w:cstheme="minorHAnsi"/>
          <w:vertAlign w:val="superscript"/>
        </w:rPr>
        <w:t>2</w:t>
      </w:r>
      <w:r>
        <w:rPr>
          <w:rFonts w:cstheme="minorHAnsi"/>
        </w:rPr>
        <w:t>) technickej vybavenosti nájomného bytu pre obstaranie odstavnej plochy vrátane príjazdu z miestnej komunikácie</w:t>
      </w:r>
      <w:r w:rsidR="003236EE">
        <w:rPr>
          <w:rFonts w:cstheme="minorHAnsi"/>
        </w:rPr>
        <w:t xml:space="preserve"> </w:t>
      </w:r>
      <w:r w:rsidR="005E649A">
        <w:rPr>
          <w:rFonts w:cstheme="minorHAnsi"/>
        </w:rPr>
        <w:t xml:space="preserve">a stojiska na kontajnery </w:t>
      </w:r>
      <w:r w:rsidR="003236EE">
        <w:rPr>
          <w:rFonts w:cstheme="minorHAnsi"/>
        </w:rPr>
        <w:t>súvisiac</w:t>
      </w:r>
      <w:r w:rsidR="005E649A">
        <w:rPr>
          <w:rFonts w:cstheme="minorHAnsi"/>
        </w:rPr>
        <w:t xml:space="preserve">ej </w:t>
      </w:r>
      <w:r w:rsidR="003236EE">
        <w:rPr>
          <w:rFonts w:cstheme="minorHAnsi"/>
        </w:rPr>
        <w:t>s obstaraním nájomného bytu</w:t>
      </w:r>
    </w:p>
    <w:p w14:paraId="7D4D055E" w14:textId="7D726D38" w:rsidR="00201D4C" w:rsidRDefault="00201D4C" w:rsidP="00201D4C">
      <w:pPr>
        <w:spacing w:after="0"/>
        <w:ind w:firstLine="708"/>
        <w:jc w:val="both"/>
        <w:rPr>
          <w:rFonts w:cstheme="minorHAnsi"/>
        </w:rPr>
      </w:pPr>
      <w:r>
        <w:rPr>
          <w:rFonts w:cstheme="minorHAnsi"/>
        </w:rPr>
        <w:t xml:space="preserve"> - na mernú jednotku (ks) vybavenia nájomného bytu pre obstaranie zariadenia na prípravu stravy a obstaranie zariadeni</w:t>
      </w:r>
      <w:r w:rsidR="00C13453">
        <w:rPr>
          <w:rFonts w:cstheme="minorHAnsi"/>
        </w:rPr>
        <w:t>a</w:t>
      </w:r>
      <w:r>
        <w:rPr>
          <w:rFonts w:cstheme="minorHAnsi"/>
        </w:rPr>
        <w:t xml:space="preserve"> na bezpečné uskladnenie a uchovanie potravín.</w:t>
      </w:r>
    </w:p>
    <w:p w14:paraId="7033E401" w14:textId="77777777" w:rsidR="00401177" w:rsidRPr="00201D4C" w:rsidRDefault="00401177" w:rsidP="00201D4C">
      <w:pPr>
        <w:spacing w:after="0"/>
        <w:ind w:firstLine="708"/>
        <w:jc w:val="both"/>
        <w:rPr>
          <w:rFonts w:cstheme="minorHAnsi"/>
        </w:rPr>
      </w:pPr>
    </w:p>
    <w:p w14:paraId="5DACC2A2" w14:textId="3FDABFF0" w:rsidR="00CE09FD" w:rsidRDefault="00CE09FD" w:rsidP="005E649A">
      <w:pPr>
        <w:pStyle w:val="Popis"/>
        <w:keepNext/>
        <w:spacing w:after="0"/>
      </w:pPr>
      <w:r>
        <w:t xml:space="preserve">Tabuľka </w:t>
      </w:r>
      <w:r w:rsidR="00182FCA">
        <w:t>6</w:t>
      </w:r>
    </w:p>
    <w:tbl>
      <w:tblPr>
        <w:tblStyle w:val="Mriekatabuky"/>
        <w:tblW w:w="9493" w:type="dxa"/>
        <w:tblLook w:val="04A0" w:firstRow="1" w:lastRow="0" w:firstColumn="1" w:lastColumn="0" w:noHBand="0" w:noVBand="1"/>
      </w:tblPr>
      <w:tblGrid>
        <w:gridCol w:w="2689"/>
        <w:gridCol w:w="1842"/>
        <w:gridCol w:w="1985"/>
        <w:gridCol w:w="2977"/>
      </w:tblGrid>
      <w:tr w:rsidR="00CE09FD" w:rsidRPr="0054336F" w14:paraId="7253E6CF" w14:textId="77777777" w:rsidTr="00CF6C88">
        <w:trPr>
          <w:trHeight w:val="587"/>
        </w:trPr>
        <w:tc>
          <w:tcPr>
            <w:tcW w:w="2689" w:type="dxa"/>
            <w:shd w:val="clear" w:color="auto" w:fill="DEEAF6" w:themeFill="accent1" w:themeFillTint="33"/>
            <w:vAlign w:val="center"/>
          </w:tcPr>
          <w:p w14:paraId="47B39C57" w14:textId="77777777" w:rsidR="00CE09FD" w:rsidRPr="0054336F" w:rsidRDefault="00CE09FD" w:rsidP="00CF6C88">
            <w:pPr>
              <w:jc w:val="center"/>
              <w:rPr>
                <w:rFonts w:cstheme="minorHAnsi"/>
                <w:b/>
                <w:bCs/>
              </w:rPr>
            </w:pPr>
            <w:r w:rsidRPr="0054336F">
              <w:rPr>
                <w:rFonts w:cstheme="minorHAnsi"/>
                <w:b/>
                <w:bCs/>
              </w:rPr>
              <w:t>Oprávnený výdavok s DPH</w:t>
            </w:r>
          </w:p>
        </w:tc>
        <w:tc>
          <w:tcPr>
            <w:tcW w:w="1842" w:type="dxa"/>
            <w:shd w:val="clear" w:color="auto" w:fill="DEEAF6" w:themeFill="accent1" w:themeFillTint="33"/>
            <w:vAlign w:val="center"/>
          </w:tcPr>
          <w:p w14:paraId="50818720" w14:textId="77777777" w:rsidR="00CE09FD" w:rsidRPr="0054336F" w:rsidRDefault="00CE09FD" w:rsidP="00CF6C88">
            <w:pPr>
              <w:jc w:val="center"/>
              <w:rPr>
                <w:rFonts w:cstheme="minorHAnsi"/>
                <w:b/>
                <w:bCs/>
              </w:rPr>
            </w:pPr>
            <w:r w:rsidRPr="0054336F">
              <w:rPr>
                <w:rFonts w:cstheme="minorHAnsi"/>
                <w:b/>
                <w:bCs/>
              </w:rPr>
              <w:t>Benchmark</w:t>
            </w:r>
          </w:p>
        </w:tc>
        <w:tc>
          <w:tcPr>
            <w:tcW w:w="1985" w:type="dxa"/>
            <w:shd w:val="clear" w:color="auto" w:fill="DEEAF6" w:themeFill="accent1" w:themeFillTint="33"/>
            <w:vAlign w:val="center"/>
          </w:tcPr>
          <w:p w14:paraId="1429C872" w14:textId="77777777" w:rsidR="00CE09FD" w:rsidRPr="0054336F" w:rsidRDefault="00CE09FD" w:rsidP="00CF6C88">
            <w:pPr>
              <w:jc w:val="center"/>
              <w:rPr>
                <w:rFonts w:cstheme="minorHAnsi"/>
                <w:b/>
                <w:bCs/>
              </w:rPr>
            </w:pPr>
            <w:r w:rsidRPr="0054336F">
              <w:rPr>
                <w:rFonts w:cstheme="minorHAnsi"/>
                <w:b/>
                <w:bCs/>
              </w:rPr>
              <w:t>Finančný limit</w:t>
            </w:r>
          </w:p>
          <w:p w14:paraId="21FB6D85" w14:textId="77777777" w:rsidR="00CE09FD" w:rsidRPr="0054336F" w:rsidRDefault="00CE09FD" w:rsidP="00CF6C88">
            <w:pPr>
              <w:jc w:val="center"/>
              <w:rPr>
                <w:rFonts w:cstheme="minorHAnsi"/>
                <w:b/>
                <w:bCs/>
              </w:rPr>
            </w:pPr>
          </w:p>
        </w:tc>
        <w:tc>
          <w:tcPr>
            <w:tcW w:w="2977" w:type="dxa"/>
            <w:shd w:val="clear" w:color="auto" w:fill="DEEAF6" w:themeFill="accent1" w:themeFillTint="33"/>
            <w:vAlign w:val="center"/>
          </w:tcPr>
          <w:p w14:paraId="45A55252" w14:textId="77777777" w:rsidR="00CE09FD" w:rsidRPr="004839DE" w:rsidRDefault="00CE09FD" w:rsidP="00CF6C88">
            <w:pPr>
              <w:jc w:val="center"/>
              <w:rPr>
                <w:rFonts w:cstheme="minorHAnsi"/>
                <w:b/>
                <w:bCs/>
              </w:rPr>
            </w:pPr>
            <w:r w:rsidRPr="004839DE">
              <w:rPr>
                <w:rFonts w:cstheme="minorHAnsi"/>
                <w:b/>
                <w:bCs/>
              </w:rPr>
              <w:t>Popis</w:t>
            </w:r>
          </w:p>
        </w:tc>
      </w:tr>
      <w:tr w:rsidR="00CE09FD" w:rsidRPr="0054336F" w14:paraId="1BC0AF41" w14:textId="77777777" w:rsidTr="00CF6C88">
        <w:trPr>
          <w:trHeight w:val="286"/>
        </w:trPr>
        <w:tc>
          <w:tcPr>
            <w:tcW w:w="2689" w:type="dxa"/>
            <w:shd w:val="clear" w:color="auto" w:fill="BDD6EE" w:themeFill="accent1" w:themeFillTint="66"/>
            <w:vAlign w:val="center"/>
          </w:tcPr>
          <w:p w14:paraId="17CA76EE" w14:textId="44F9A0BB" w:rsidR="00CE09FD" w:rsidRPr="0049315C" w:rsidRDefault="00EA50C6" w:rsidP="00E67B57">
            <w:pPr>
              <w:rPr>
                <w:rFonts w:cstheme="minorHAnsi"/>
                <w:b/>
                <w:bCs/>
              </w:rPr>
            </w:pPr>
            <w:r w:rsidRPr="0049315C">
              <w:rPr>
                <w:rFonts w:cstheme="minorHAnsi"/>
                <w:b/>
                <w:bCs/>
              </w:rPr>
              <w:t>obstaranie nájomného bytu novou výstavbou</w:t>
            </w:r>
          </w:p>
        </w:tc>
        <w:tc>
          <w:tcPr>
            <w:tcW w:w="1842" w:type="dxa"/>
            <w:vAlign w:val="center"/>
          </w:tcPr>
          <w:p w14:paraId="4D41594F" w14:textId="58E68B45" w:rsidR="00CE09FD" w:rsidRPr="0049315C" w:rsidRDefault="0049315C" w:rsidP="00166CA2">
            <w:pPr>
              <w:jc w:val="center"/>
              <w:rPr>
                <w:rFonts w:cstheme="minorHAnsi"/>
              </w:rPr>
            </w:pPr>
            <w:r w:rsidRPr="0049315C">
              <w:rPr>
                <w:rFonts w:cstheme="minorHAnsi"/>
              </w:rPr>
              <w:t xml:space="preserve">1 </w:t>
            </w:r>
            <w:r w:rsidR="00166CA2">
              <w:rPr>
                <w:rFonts w:cstheme="minorHAnsi"/>
              </w:rPr>
              <w:t>80</w:t>
            </w:r>
            <w:r w:rsidR="00141F36">
              <w:rPr>
                <w:rFonts w:cstheme="minorHAnsi"/>
              </w:rPr>
              <w:t>0</w:t>
            </w:r>
            <w:r w:rsidR="00CE09FD" w:rsidRPr="0049315C">
              <w:rPr>
                <w:rFonts w:cstheme="minorHAnsi"/>
              </w:rPr>
              <w:t xml:space="preserve"> </w:t>
            </w:r>
            <w:r w:rsidR="00EA50C6" w:rsidRPr="0049315C">
              <w:rPr>
                <w:rFonts w:cstheme="minorHAnsi"/>
              </w:rPr>
              <w:t>eur/m</w:t>
            </w:r>
            <w:r w:rsidR="00EA50C6" w:rsidRPr="009327F4">
              <w:rPr>
                <w:rFonts w:cstheme="minorHAnsi"/>
                <w:vertAlign w:val="superscript"/>
              </w:rPr>
              <w:t>2</w:t>
            </w:r>
          </w:p>
        </w:tc>
        <w:tc>
          <w:tcPr>
            <w:tcW w:w="1985" w:type="dxa"/>
            <w:vAlign w:val="center"/>
          </w:tcPr>
          <w:p w14:paraId="01C4D38C" w14:textId="7CC84D8A" w:rsidR="00CE09FD" w:rsidRPr="0049315C" w:rsidRDefault="00CE09FD" w:rsidP="00C366FC">
            <w:pPr>
              <w:rPr>
                <w:rFonts w:cstheme="minorHAnsi"/>
              </w:rPr>
            </w:pPr>
          </w:p>
          <w:p w14:paraId="11B71C7D" w14:textId="219E62E1" w:rsidR="00CE09FD" w:rsidRPr="0049315C" w:rsidRDefault="00CE09FD" w:rsidP="00166CA2">
            <w:pPr>
              <w:spacing w:line="276" w:lineRule="auto"/>
              <w:jc w:val="center"/>
              <w:rPr>
                <w:rFonts w:cstheme="minorHAnsi"/>
              </w:rPr>
            </w:pPr>
            <w:r w:rsidRPr="0049315C">
              <w:rPr>
                <w:rFonts w:cstheme="minorHAnsi"/>
              </w:rPr>
              <w:t xml:space="preserve">Vypočítaná hodnota benchmarku zvýšená o </w:t>
            </w:r>
            <w:r w:rsidR="00141F36">
              <w:rPr>
                <w:rFonts w:cstheme="minorHAnsi"/>
              </w:rPr>
              <w:t>1</w:t>
            </w:r>
            <w:r w:rsidR="00166CA2">
              <w:rPr>
                <w:rFonts w:cstheme="minorHAnsi"/>
              </w:rPr>
              <w:t>0</w:t>
            </w:r>
            <w:r w:rsidRPr="0049315C">
              <w:rPr>
                <w:rFonts w:cstheme="minorHAnsi"/>
              </w:rPr>
              <w:t xml:space="preserve"> % (vzorec: hodnota benchmarku x 1,</w:t>
            </w:r>
            <w:r w:rsidR="00141F36">
              <w:rPr>
                <w:rFonts w:cstheme="minorHAnsi"/>
              </w:rPr>
              <w:t>1</w:t>
            </w:r>
            <w:r w:rsidR="00166CA2">
              <w:rPr>
                <w:rFonts w:cstheme="minorHAnsi"/>
              </w:rPr>
              <w:t>0</w:t>
            </w:r>
            <w:r w:rsidRPr="0049315C">
              <w:rPr>
                <w:rFonts w:cstheme="minorHAnsi"/>
              </w:rPr>
              <w:t>)</w:t>
            </w:r>
          </w:p>
        </w:tc>
        <w:tc>
          <w:tcPr>
            <w:tcW w:w="2977" w:type="dxa"/>
            <w:vAlign w:val="center"/>
          </w:tcPr>
          <w:p w14:paraId="38CC96C4" w14:textId="7D72BE76" w:rsidR="00CE09FD" w:rsidRPr="004839DE" w:rsidRDefault="004839DE" w:rsidP="00E67B57">
            <w:pPr>
              <w:rPr>
                <w:rFonts w:cstheme="minorHAnsi"/>
                <w:sz w:val="24"/>
                <w:szCs w:val="24"/>
              </w:rPr>
            </w:pPr>
            <w:r w:rsidRPr="004839DE">
              <w:rPr>
                <w:rFonts w:cstheme="minorHAnsi"/>
                <w:sz w:val="20"/>
                <w:szCs w:val="20"/>
              </w:rPr>
              <w:t>Oprávnenými výdavkami sú všetky skutočne vynaložené náklady na uskutočnenie stavby vrátane dane z pridanej hodnoty, ktoré sa preukazujú rozpočtom stavby a zmluvou o dodávke stavebných prác, ktorej súčasťou je rozpočet stavby vypracovaný zhotoviteľom.</w:t>
            </w:r>
            <w:r w:rsidR="001A020D">
              <w:rPr>
                <w:rFonts w:cstheme="minorHAnsi"/>
                <w:sz w:val="20"/>
                <w:szCs w:val="20"/>
              </w:rPr>
              <w:t xml:space="preserve"> Všetky povrchy musia byť v konečnej povrchovej úprave, musí byť osadená </w:t>
            </w:r>
            <w:proofErr w:type="spellStart"/>
            <w:r w:rsidR="001A020D">
              <w:rPr>
                <w:rFonts w:cstheme="minorHAnsi"/>
                <w:sz w:val="20"/>
                <w:szCs w:val="20"/>
              </w:rPr>
              <w:t>sanita</w:t>
            </w:r>
            <w:proofErr w:type="spellEnd"/>
            <w:r w:rsidR="001A020D">
              <w:rPr>
                <w:rFonts w:cstheme="minorHAnsi"/>
                <w:sz w:val="20"/>
                <w:szCs w:val="20"/>
              </w:rPr>
              <w:t xml:space="preserve"> a súčasťou je aj kuchynská linka s minimálnou dĺžkou 2,50 m vrátane</w:t>
            </w:r>
            <w:r w:rsidR="005E649A">
              <w:rPr>
                <w:rFonts w:cstheme="minorHAnsi"/>
                <w:sz w:val="20"/>
                <w:szCs w:val="20"/>
              </w:rPr>
              <w:t xml:space="preserve"> 1</w:t>
            </w:r>
            <w:r w:rsidR="001A020D">
              <w:rPr>
                <w:rFonts w:cstheme="minorHAnsi"/>
                <w:sz w:val="20"/>
                <w:szCs w:val="20"/>
              </w:rPr>
              <w:t xml:space="preserve"> zariadenia na odsávanie pár.</w:t>
            </w:r>
          </w:p>
        </w:tc>
      </w:tr>
      <w:tr w:rsidR="004839DE" w:rsidRPr="0054336F" w14:paraId="60204FFE" w14:textId="77777777" w:rsidTr="00CF6C88">
        <w:trPr>
          <w:trHeight w:val="286"/>
        </w:trPr>
        <w:tc>
          <w:tcPr>
            <w:tcW w:w="2689" w:type="dxa"/>
            <w:shd w:val="clear" w:color="auto" w:fill="BDD6EE" w:themeFill="accent1" w:themeFillTint="66"/>
            <w:vAlign w:val="center"/>
          </w:tcPr>
          <w:p w14:paraId="4A10001E" w14:textId="69B4354D" w:rsidR="004839DE" w:rsidRPr="0049315C" w:rsidRDefault="004839DE" w:rsidP="004839DE">
            <w:pPr>
              <w:rPr>
                <w:rFonts w:cstheme="minorHAnsi"/>
                <w:b/>
                <w:bCs/>
              </w:rPr>
            </w:pPr>
            <w:r w:rsidRPr="0049315C">
              <w:rPr>
                <w:rFonts w:cstheme="minorHAnsi"/>
                <w:b/>
                <w:bCs/>
              </w:rPr>
              <w:t>obstaranie nájomného bytu stavebnými úpravami</w:t>
            </w:r>
            <w:r w:rsidR="00C13453">
              <w:rPr>
                <w:rFonts w:cstheme="minorHAnsi"/>
                <w:b/>
                <w:bCs/>
              </w:rPr>
              <w:t xml:space="preserve"> a rekonštrukcia nájomného bytu</w:t>
            </w:r>
          </w:p>
        </w:tc>
        <w:tc>
          <w:tcPr>
            <w:tcW w:w="1842" w:type="dxa"/>
            <w:vAlign w:val="center"/>
          </w:tcPr>
          <w:p w14:paraId="62E15EE1" w14:textId="13709504" w:rsidR="004839DE" w:rsidRPr="0049315C" w:rsidRDefault="00166CA2" w:rsidP="00166CA2">
            <w:pPr>
              <w:jc w:val="center"/>
              <w:rPr>
                <w:rFonts w:cstheme="minorHAnsi"/>
              </w:rPr>
            </w:pPr>
            <w:r>
              <w:rPr>
                <w:rFonts w:cstheme="minorHAnsi"/>
              </w:rPr>
              <w:t>1 480</w:t>
            </w:r>
            <w:r w:rsidR="004839DE" w:rsidRPr="0049315C">
              <w:rPr>
                <w:rFonts w:cstheme="minorHAnsi"/>
              </w:rPr>
              <w:t xml:space="preserve"> eur/m</w:t>
            </w:r>
            <w:r w:rsidR="004839DE" w:rsidRPr="009327F4">
              <w:rPr>
                <w:rFonts w:cstheme="minorHAnsi"/>
                <w:vertAlign w:val="superscript"/>
              </w:rPr>
              <w:t>2</w:t>
            </w:r>
          </w:p>
        </w:tc>
        <w:tc>
          <w:tcPr>
            <w:tcW w:w="1985" w:type="dxa"/>
            <w:vAlign w:val="center"/>
          </w:tcPr>
          <w:p w14:paraId="7B01D1B9" w14:textId="3BAD8C48" w:rsidR="004839DE" w:rsidRPr="00EA50C6" w:rsidRDefault="00C366FC" w:rsidP="00166CA2">
            <w:pPr>
              <w:jc w:val="center"/>
              <w:rPr>
                <w:rFonts w:cstheme="minorHAnsi"/>
                <w:color w:val="FF0000"/>
              </w:rPr>
            </w:pPr>
            <w:r w:rsidRPr="0049315C">
              <w:rPr>
                <w:rFonts w:cstheme="minorHAnsi"/>
              </w:rPr>
              <w:t xml:space="preserve">Vypočítaná hodnota benchmarku zvýšená o </w:t>
            </w:r>
            <w:r>
              <w:rPr>
                <w:rFonts w:cstheme="minorHAnsi"/>
              </w:rPr>
              <w:t>1</w:t>
            </w:r>
            <w:r w:rsidR="00166CA2">
              <w:rPr>
                <w:rFonts w:cstheme="minorHAnsi"/>
              </w:rPr>
              <w:t>5</w:t>
            </w:r>
            <w:r w:rsidRPr="0049315C">
              <w:rPr>
                <w:rFonts w:cstheme="minorHAnsi"/>
              </w:rPr>
              <w:t xml:space="preserve"> % (vzorec: hodnota benchmarku x 1,</w:t>
            </w:r>
            <w:r>
              <w:rPr>
                <w:rFonts w:cstheme="minorHAnsi"/>
              </w:rPr>
              <w:t>1</w:t>
            </w:r>
            <w:r w:rsidR="00166CA2">
              <w:rPr>
                <w:rFonts w:cstheme="minorHAnsi"/>
              </w:rPr>
              <w:t>5</w:t>
            </w:r>
            <w:r w:rsidRPr="0049315C">
              <w:rPr>
                <w:rFonts w:cstheme="minorHAnsi"/>
              </w:rPr>
              <w:t>)</w:t>
            </w:r>
          </w:p>
        </w:tc>
        <w:tc>
          <w:tcPr>
            <w:tcW w:w="2977" w:type="dxa"/>
            <w:vAlign w:val="center"/>
          </w:tcPr>
          <w:p w14:paraId="0FD7AD4E" w14:textId="77E6DB19" w:rsidR="004839DE" w:rsidRPr="004839DE" w:rsidRDefault="004839DE" w:rsidP="00E67B57">
            <w:pPr>
              <w:rPr>
                <w:rFonts w:cstheme="minorHAnsi"/>
                <w:sz w:val="24"/>
                <w:szCs w:val="24"/>
              </w:rPr>
            </w:pPr>
            <w:r w:rsidRPr="004839DE">
              <w:rPr>
                <w:rFonts w:cstheme="minorHAnsi"/>
                <w:sz w:val="20"/>
                <w:szCs w:val="20"/>
              </w:rPr>
              <w:t xml:space="preserve">Oprávnenými výdavkami sú všetky skutočne vynaložené náklady na uskutočnenie stavby vrátane dane z pridanej hodnoty, ktoré sa preukazujú rozpočtom stavby a zmluvou o dodávke stavebných prác, ktorej súčasťou je rozpočet stavby vypracovaný zhotoviteľom. </w:t>
            </w:r>
            <w:r w:rsidR="001A020D">
              <w:rPr>
                <w:rFonts w:cstheme="minorHAnsi"/>
                <w:sz w:val="20"/>
                <w:szCs w:val="20"/>
              </w:rPr>
              <w:t xml:space="preserve">Všetky povrchy musia byť v konečnej povrchovej úprave, musí byť osadená </w:t>
            </w:r>
            <w:proofErr w:type="spellStart"/>
            <w:r w:rsidR="001A020D">
              <w:rPr>
                <w:rFonts w:cstheme="minorHAnsi"/>
                <w:sz w:val="20"/>
                <w:szCs w:val="20"/>
              </w:rPr>
              <w:t>sanita</w:t>
            </w:r>
            <w:proofErr w:type="spellEnd"/>
            <w:r w:rsidR="001A020D">
              <w:rPr>
                <w:rFonts w:cstheme="minorHAnsi"/>
                <w:sz w:val="20"/>
                <w:szCs w:val="20"/>
              </w:rPr>
              <w:t xml:space="preserve"> a súčasťou je aj kuchynská linka s minimálnou dĺžkou 2,50 m vrátane </w:t>
            </w:r>
            <w:r w:rsidR="005E649A">
              <w:rPr>
                <w:rFonts w:cstheme="minorHAnsi"/>
                <w:sz w:val="20"/>
                <w:szCs w:val="20"/>
              </w:rPr>
              <w:t xml:space="preserve">1 </w:t>
            </w:r>
            <w:r w:rsidR="001A020D">
              <w:rPr>
                <w:rFonts w:cstheme="minorHAnsi"/>
                <w:sz w:val="20"/>
                <w:szCs w:val="20"/>
              </w:rPr>
              <w:t>zariadenia na odsávanie pár.</w:t>
            </w:r>
          </w:p>
        </w:tc>
      </w:tr>
      <w:tr w:rsidR="00C366FC" w:rsidRPr="0054336F" w14:paraId="137FE99E" w14:textId="77777777" w:rsidTr="00CF6C88">
        <w:trPr>
          <w:trHeight w:val="286"/>
        </w:trPr>
        <w:tc>
          <w:tcPr>
            <w:tcW w:w="2689" w:type="dxa"/>
            <w:shd w:val="clear" w:color="auto" w:fill="BDD6EE" w:themeFill="accent1" w:themeFillTint="66"/>
            <w:vAlign w:val="center"/>
          </w:tcPr>
          <w:p w14:paraId="52A9A820" w14:textId="1DC56F3D" w:rsidR="00C366FC" w:rsidRPr="0049315C" w:rsidRDefault="00C366FC" w:rsidP="004839DE">
            <w:pPr>
              <w:rPr>
                <w:rFonts w:cstheme="minorHAnsi"/>
                <w:b/>
                <w:bCs/>
              </w:rPr>
            </w:pPr>
            <w:r w:rsidRPr="0049315C">
              <w:rPr>
                <w:rFonts w:cstheme="minorHAnsi"/>
                <w:b/>
                <w:bCs/>
              </w:rPr>
              <w:t>obstaranie vodovodnej prípojky</w:t>
            </w:r>
          </w:p>
        </w:tc>
        <w:tc>
          <w:tcPr>
            <w:tcW w:w="1842" w:type="dxa"/>
            <w:vAlign w:val="center"/>
          </w:tcPr>
          <w:p w14:paraId="51A3C032" w14:textId="2D429B56" w:rsidR="00C366FC" w:rsidRPr="0049315C" w:rsidRDefault="00C366FC" w:rsidP="004839DE">
            <w:pPr>
              <w:jc w:val="center"/>
              <w:rPr>
                <w:rFonts w:cstheme="minorHAnsi"/>
              </w:rPr>
            </w:pPr>
            <w:r w:rsidRPr="0049315C">
              <w:rPr>
                <w:rFonts w:cstheme="minorHAnsi"/>
              </w:rPr>
              <w:t>370 eur/</w:t>
            </w:r>
            <w:proofErr w:type="spellStart"/>
            <w:r w:rsidRPr="0049315C">
              <w:rPr>
                <w:rFonts w:cstheme="minorHAnsi"/>
              </w:rPr>
              <w:t>mb</w:t>
            </w:r>
            <w:proofErr w:type="spellEnd"/>
          </w:p>
        </w:tc>
        <w:tc>
          <w:tcPr>
            <w:tcW w:w="1985" w:type="dxa"/>
            <w:vMerge w:val="restart"/>
            <w:vAlign w:val="center"/>
          </w:tcPr>
          <w:p w14:paraId="12111F93" w14:textId="706D045E" w:rsidR="00C366FC" w:rsidRPr="00EA50C6" w:rsidRDefault="00C366FC" w:rsidP="004839DE">
            <w:pPr>
              <w:jc w:val="center"/>
              <w:rPr>
                <w:rFonts w:cstheme="minorHAnsi"/>
                <w:color w:val="FF0000"/>
              </w:rPr>
            </w:pPr>
            <w:r w:rsidRPr="0049315C">
              <w:rPr>
                <w:rFonts w:cstheme="minorHAnsi"/>
              </w:rPr>
              <w:t xml:space="preserve">Vypočítaná hodnota benchmarku zvýšená o </w:t>
            </w:r>
            <w:r>
              <w:rPr>
                <w:rFonts w:cstheme="minorHAnsi"/>
              </w:rPr>
              <w:t>1</w:t>
            </w:r>
            <w:r w:rsidRPr="0049315C">
              <w:rPr>
                <w:rFonts w:cstheme="minorHAnsi"/>
              </w:rPr>
              <w:t>2 % (vzorec: hodnota benchmarku x 1,</w:t>
            </w:r>
            <w:r>
              <w:rPr>
                <w:rFonts w:cstheme="minorHAnsi"/>
              </w:rPr>
              <w:t>1</w:t>
            </w:r>
            <w:r w:rsidRPr="0049315C">
              <w:rPr>
                <w:rFonts w:cstheme="minorHAnsi"/>
              </w:rPr>
              <w:t>2)</w:t>
            </w:r>
          </w:p>
        </w:tc>
        <w:tc>
          <w:tcPr>
            <w:tcW w:w="2977" w:type="dxa"/>
            <w:vAlign w:val="center"/>
          </w:tcPr>
          <w:p w14:paraId="35F502F9" w14:textId="2A9CE89A" w:rsidR="00C366FC" w:rsidRPr="004839DE" w:rsidRDefault="00C366FC" w:rsidP="004839DE">
            <w:pPr>
              <w:rPr>
                <w:rFonts w:cstheme="minorHAnsi"/>
                <w:sz w:val="24"/>
                <w:szCs w:val="24"/>
              </w:rPr>
            </w:pPr>
            <w:r w:rsidRPr="004839DE">
              <w:rPr>
                <w:rFonts w:cstheme="minorHAnsi"/>
                <w:sz w:val="20"/>
                <w:szCs w:val="20"/>
              </w:rPr>
              <w:t>Stavebné práce vrátane všetkého vybavenia na meter trasy vodovodnej prípojky</w:t>
            </w:r>
          </w:p>
        </w:tc>
      </w:tr>
      <w:tr w:rsidR="00C366FC" w:rsidRPr="0054336F" w14:paraId="62718D97" w14:textId="77777777" w:rsidTr="00CF6C88">
        <w:trPr>
          <w:trHeight w:val="301"/>
        </w:trPr>
        <w:tc>
          <w:tcPr>
            <w:tcW w:w="2689" w:type="dxa"/>
            <w:shd w:val="clear" w:color="auto" w:fill="BDD6EE" w:themeFill="accent1" w:themeFillTint="66"/>
            <w:vAlign w:val="center"/>
          </w:tcPr>
          <w:p w14:paraId="2D32201A" w14:textId="45358AC8" w:rsidR="00C366FC" w:rsidRPr="0049315C" w:rsidRDefault="00C366FC" w:rsidP="004839DE">
            <w:pPr>
              <w:rPr>
                <w:rFonts w:cstheme="minorHAnsi"/>
                <w:b/>
                <w:bCs/>
              </w:rPr>
            </w:pPr>
            <w:r w:rsidRPr="0049315C">
              <w:rPr>
                <w:rFonts w:cstheme="minorHAnsi"/>
                <w:b/>
                <w:bCs/>
              </w:rPr>
              <w:t>obstaranie kanalizačnej prípojky</w:t>
            </w:r>
          </w:p>
        </w:tc>
        <w:tc>
          <w:tcPr>
            <w:tcW w:w="1842" w:type="dxa"/>
            <w:vAlign w:val="center"/>
          </w:tcPr>
          <w:p w14:paraId="770646C8" w14:textId="7C239B86" w:rsidR="00C366FC" w:rsidRPr="0049315C" w:rsidRDefault="00C366FC" w:rsidP="004839DE">
            <w:pPr>
              <w:jc w:val="center"/>
              <w:rPr>
                <w:rFonts w:cstheme="minorHAnsi"/>
              </w:rPr>
            </w:pPr>
            <w:r w:rsidRPr="0049315C">
              <w:rPr>
                <w:rFonts w:cstheme="minorHAnsi"/>
              </w:rPr>
              <w:t>560 eur/</w:t>
            </w:r>
            <w:proofErr w:type="spellStart"/>
            <w:r w:rsidRPr="0049315C">
              <w:rPr>
                <w:rFonts w:cstheme="minorHAnsi"/>
              </w:rPr>
              <w:t>mb</w:t>
            </w:r>
            <w:proofErr w:type="spellEnd"/>
          </w:p>
        </w:tc>
        <w:tc>
          <w:tcPr>
            <w:tcW w:w="1985" w:type="dxa"/>
            <w:vMerge/>
            <w:vAlign w:val="center"/>
          </w:tcPr>
          <w:p w14:paraId="46D64F7B" w14:textId="77777777" w:rsidR="00C366FC" w:rsidRPr="00EA50C6" w:rsidRDefault="00C366FC" w:rsidP="004839DE">
            <w:pPr>
              <w:jc w:val="center"/>
              <w:rPr>
                <w:rFonts w:cstheme="minorHAnsi"/>
                <w:color w:val="FF0000"/>
              </w:rPr>
            </w:pPr>
          </w:p>
        </w:tc>
        <w:tc>
          <w:tcPr>
            <w:tcW w:w="2977" w:type="dxa"/>
            <w:vAlign w:val="center"/>
          </w:tcPr>
          <w:p w14:paraId="26B40005" w14:textId="1B0E6635" w:rsidR="00C366FC" w:rsidRPr="004839DE" w:rsidRDefault="00C366FC" w:rsidP="004839DE">
            <w:pPr>
              <w:rPr>
                <w:rFonts w:cstheme="minorHAnsi"/>
                <w:sz w:val="24"/>
                <w:szCs w:val="24"/>
              </w:rPr>
            </w:pPr>
            <w:r w:rsidRPr="004839DE">
              <w:rPr>
                <w:rFonts w:cstheme="minorHAnsi"/>
                <w:sz w:val="20"/>
                <w:szCs w:val="20"/>
              </w:rPr>
              <w:t>Stavebné práce vrátane všetkého vybavenia na meter trasy kanalizačnej prípojky</w:t>
            </w:r>
          </w:p>
        </w:tc>
      </w:tr>
      <w:tr w:rsidR="00C366FC" w:rsidRPr="0054336F" w14:paraId="7D3E81BF" w14:textId="77777777" w:rsidTr="00CF6C88">
        <w:trPr>
          <w:trHeight w:val="286"/>
        </w:trPr>
        <w:tc>
          <w:tcPr>
            <w:tcW w:w="2689" w:type="dxa"/>
            <w:shd w:val="clear" w:color="auto" w:fill="BDD6EE" w:themeFill="accent1" w:themeFillTint="66"/>
            <w:vAlign w:val="center"/>
          </w:tcPr>
          <w:p w14:paraId="3951C886" w14:textId="47B567B8" w:rsidR="00C366FC" w:rsidRPr="0049315C" w:rsidRDefault="00C366FC" w:rsidP="004839DE">
            <w:pPr>
              <w:rPr>
                <w:rFonts w:cstheme="minorHAnsi"/>
                <w:b/>
                <w:bCs/>
              </w:rPr>
            </w:pPr>
            <w:r w:rsidRPr="0049315C">
              <w:rPr>
                <w:rFonts w:cstheme="minorHAnsi"/>
                <w:b/>
                <w:bCs/>
              </w:rPr>
              <w:t xml:space="preserve">obstaranie odstavnej plochy vrátane príjazdu z </w:t>
            </w:r>
            <w:r w:rsidRPr="0049315C">
              <w:rPr>
                <w:rFonts w:cstheme="minorHAnsi"/>
                <w:b/>
                <w:bCs/>
              </w:rPr>
              <w:lastRenderedPageBreak/>
              <w:t>miestnej komunikácie</w:t>
            </w:r>
            <w:r w:rsidR="005E649A">
              <w:rPr>
                <w:rFonts w:cstheme="minorHAnsi"/>
                <w:b/>
                <w:bCs/>
              </w:rPr>
              <w:t xml:space="preserve"> a stojiska na kontajnery</w:t>
            </w:r>
          </w:p>
        </w:tc>
        <w:tc>
          <w:tcPr>
            <w:tcW w:w="1842" w:type="dxa"/>
            <w:vAlign w:val="center"/>
          </w:tcPr>
          <w:p w14:paraId="1186A163" w14:textId="4FBAE2E4" w:rsidR="00C366FC" w:rsidRPr="0049315C" w:rsidRDefault="00C366FC" w:rsidP="004839DE">
            <w:pPr>
              <w:jc w:val="center"/>
              <w:rPr>
                <w:rFonts w:cstheme="minorHAnsi"/>
              </w:rPr>
            </w:pPr>
            <w:r w:rsidRPr="0049315C">
              <w:rPr>
                <w:rFonts w:cstheme="minorHAnsi"/>
              </w:rPr>
              <w:lastRenderedPageBreak/>
              <w:t>80 eur/m</w:t>
            </w:r>
            <w:r w:rsidRPr="009327F4">
              <w:rPr>
                <w:rFonts w:cstheme="minorHAnsi"/>
                <w:vertAlign w:val="superscript"/>
              </w:rPr>
              <w:t>2</w:t>
            </w:r>
          </w:p>
        </w:tc>
        <w:tc>
          <w:tcPr>
            <w:tcW w:w="1985" w:type="dxa"/>
            <w:vMerge/>
            <w:vAlign w:val="center"/>
          </w:tcPr>
          <w:p w14:paraId="74EA0B3C" w14:textId="77777777" w:rsidR="00C366FC" w:rsidRPr="00EA50C6" w:rsidRDefault="00C366FC" w:rsidP="004839DE">
            <w:pPr>
              <w:jc w:val="center"/>
              <w:rPr>
                <w:rFonts w:cstheme="minorHAnsi"/>
                <w:color w:val="FF0000"/>
              </w:rPr>
            </w:pPr>
          </w:p>
        </w:tc>
        <w:tc>
          <w:tcPr>
            <w:tcW w:w="2977" w:type="dxa"/>
            <w:vAlign w:val="center"/>
          </w:tcPr>
          <w:p w14:paraId="51BDE672" w14:textId="2682C50A" w:rsidR="00C366FC" w:rsidRPr="004839DE" w:rsidRDefault="00C366FC" w:rsidP="004839DE">
            <w:pPr>
              <w:rPr>
                <w:rFonts w:cstheme="minorHAnsi"/>
                <w:sz w:val="24"/>
                <w:szCs w:val="24"/>
              </w:rPr>
            </w:pPr>
            <w:r w:rsidRPr="004839DE">
              <w:rPr>
                <w:rFonts w:cstheme="minorHAnsi"/>
                <w:sz w:val="20"/>
                <w:szCs w:val="20"/>
              </w:rPr>
              <w:t xml:space="preserve">Stavebné práce, vrátane všetkého vybavenia, plocha odstavnej plochy musí byť vo výmere </w:t>
            </w:r>
            <w:r w:rsidRPr="004839DE">
              <w:rPr>
                <w:rFonts w:cstheme="minorHAnsi"/>
                <w:sz w:val="20"/>
                <w:szCs w:val="20"/>
              </w:rPr>
              <w:lastRenderedPageBreak/>
              <w:t>zodpovedajúcej technickým požiadavkám na odstavné plochy a počet odstavných miest musí zohľadňovať existujúcu právnu úpravu</w:t>
            </w:r>
          </w:p>
        </w:tc>
      </w:tr>
      <w:tr w:rsidR="004839DE" w:rsidRPr="0054336F" w14:paraId="55EFF4F9" w14:textId="77777777" w:rsidTr="00CF6C88">
        <w:trPr>
          <w:trHeight w:val="572"/>
        </w:trPr>
        <w:tc>
          <w:tcPr>
            <w:tcW w:w="2689" w:type="dxa"/>
            <w:shd w:val="clear" w:color="auto" w:fill="BDD6EE" w:themeFill="accent1" w:themeFillTint="66"/>
            <w:vAlign w:val="center"/>
          </w:tcPr>
          <w:p w14:paraId="62047086" w14:textId="048E82CB" w:rsidR="004839DE" w:rsidRPr="0054336F" w:rsidRDefault="004839DE" w:rsidP="004839DE">
            <w:pPr>
              <w:rPr>
                <w:rFonts w:cstheme="minorHAnsi"/>
                <w:b/>
                <w:bCs/>
              </w:rPr>
            </w:pPr>
            <w:r>
              <w:rPr>
                <w:rFonts w:cstheme="minorHAnsi"/>
                <w:b/>
                <w:bCs/>
              </w:rPr>
              <w:lastRenderedPageBreak/>
              <w:t>Zariadenie</w:t>
            </w:r>
            <w:r w:rsidRPr="00201D4C">
              <w:rPr>
                <w:rFonts w:cstheme="minorHAnsi"/>
                <w:b/>
                <w:bCs/>
              </w:rPr>
              <w:t xml:space="preserve"> na prípravu stravy</w:t>
            </w:r>
          </w:p>
        </w:tc>
        <w:tc>
          <w:tcPr>
            <w:tcW w:w="1842" w:type="dxa"/>
            <w:vAlign w:val="center"/>
          </w:tcPr>
          <w:p w14:paraId="5F5DB37F" w14:textId="4FECCF17" w:rsidR="004839DE" w:rsidRPr="0054336F" w:rsidRDefault="00C366FC" w:rsidP="00C366FC">
            <w:pPr>
              <w:jc w:val="center"/>
              <w:rPr>
                <w:rFonts w:cstheme="minorHAnsi"/>
              </w:rPr>
            </w:pPr>
            <w:r>
              <w:rPr>
                <w:rFonts w:cstheme="minorHAnsi"/>
              </w:rPr>
              <w:t>4</w:t>
            </w:r>
            <w:r w:rsidR="004839DE">
              <w:rPr>
                <w:rFonts w:cstheme="minorHAnsi"/>
              </w:rPr>
              <w:t>20 eur</w:t>
            </w:r>
            <w:r w:rsidR="004839DE" w:rsidRPr="0054336F">
              <w:rPr>
                <w:rFonts w:cstheme="minorHAnsi"/>
              </w:rPr>
              <w:t>/</w:t>
            </w:r>
            <w:r w:rsidR="004839DE">
              <w:rPr>
                <w:rFonts w:cstheme="minorHAnsi"/>
              </w:rPr>
              <w:t>ks</w:t>
            </w:r>
            <w:r w:rsidR="003457FB">
              <w:rPr>
                <w:rFonts w:cstheme="minorHAnsi"/>
              </w:rPr>
              <w:t>/byt</w:t>
            </w:r>
          </w:p>
        </w:tc>
        <w:tc>
          <w:tcPr>
            <w:tcW w:w="1985" w:type="dxa"/>
            <w:vAlign w:val="center"/>
          </w:tcPr>
          <w:p w14:paraId="28BC01C7" w14:textId="771D16BE" w:rsidR="004839DE" w:rsidRPr="0054336F" w:rsidRDefault="00C366FC" w:rsidP="004839DE">
            <w:pPr>
              <w:jc w:val="center"/>
              <w:rPr>
                <w:rFonts w:cstheme="minorHAnsi"/>
              </w:rPr>
            </w:pPr>
            <w:r>
              <w:rPr>
                <w:rFonts w:cstheme="minorHAnsi"/>
              </w:rPr>
              <w:t>NA</w:t>
            </w:r>
          </w:p>
        </w:tc>
        <w:tc>
          <w:tcPr>
            <w:tcW w:w="2977" w:type="dxa"/>
            <w:vAlign w:val="center"/>
          </w:tcPr>
          <w:p w14:paraId="4F9D05AF" w14:textId="2D5C8953" w:rsidR="004839DE" w:rsidRPr="004839DE" w:rsidRDefault="00141F36" w:rsidP="004839DE">
            <w:pPr>
              <w:rPr>
                <w:rFonts w:cstheme="minorHAnsi"/>
                <w:sz w:val="24"/>
                <w:szCs w:val="24"/>
              </w:rPr>
            </w:pPr>
            <w:r>
              <w:rPr>
                <w:rFonts w:cstheme="minorHAnsi"/>
                <w:sz w:val="20"/>
                <w:szCs w:val="20"/>
              </w:rPr>
              <w:t>Z</w:t>
            </w:r>
            <w:r w:rsidR="004839DE" w:rsidRPr="004839DE">
              <w:rPr>
                <w:rFonts w:cstheme="minorHAnsi"/>
                <w:sz w:val="20"/>
                <w:szCs w:val="20"/>
              </w:rPr>
              <w:t>ariadenie na prípravu stravy (elektrická varná doska alebo plynová varná doska, rozmery varnej dosky max do 600 x 560 mm, minimálne tri samostatné miesta na umiestnenie nádoby na varenie) vrátane bezpečného uvedenia do prevádzky</w:t>
            </w:r>
          </w:p>
        </w:tc>
      </w:tr>
      <w:tr w:rsidR="004839DE" w:rsidRPr="0054336F" w14:paraId="1F10D93F" w14:textId="77777777" w:rsidTr="00CF6C88">
        <w:trPr>
          <w:trHeight w:val="572"/>
        </w:trPr>
        <w:tc>
          <w:tcPr>
            <w:tcW w:w="2689" w:type="dxa"/>
            <w:shd w:val="clear" w:color="auto" w:fill="BDD6EE" w:themeFill="accent1" w:themeFillTint="66"/>
            <w:vAlign w:val="center"/>
          </w:tcPr>
          <w:p w14:paraId="7195CB99" w14:textId="037F3C17" w:rsidR="004839DE" w:rsidRPr="0054336F" w:rsidRDefault="004839DE" w:rsidP="004839DE">
            <w:pPr>
              <w:rPr>
                <w:rFonts w:cstheme="minorHAnsi"/>
                <w:b/>
                <w:bCs/>
              </w:rPr>
            </w:pPr>
            <w:r>
              <w:rPr>
                <w:rFonts w:cstheme="minorHAnsi"/>
                <w:b/>
                <w:bCs/>
              </w:rPr>
              <w:t>Z</w:t>
            </w:r>
            <w:r w:rsidRPr="00201D4C">
              <w:rPr>
                <w:rFonts w:cstheme="minorHAnsi"/>
                <w:b/>
                <w:bCs/>
              </w:rPr>
              <w:t>ariadenie na bezpečné uskladnenie a uchovanie potravín</w:t>
            </w:r>
          </w:p>
        </w:tc>
        <w:tc>
          <w:tcPr>
            <w:tcW w:w="1842" w:type="dxa"/>
            <w:vAlign w:val="center"/>
          </w:tcPr>
          <w:p w14:paraId="1AB08FF1" w14:textId="6C5DD9EF" w:rsidR="004839DE" w:rsidRPr="008146B2" w:rsidRDefault="00C366FC" w:rsidP="00C366FC">
            <w:pPr>
              <w:jc w:val="center"/>
              <w:rPr>
                <w:rFonts w:cstheme="minorHAnsi"/>
                <w:highlight w:val="yellow"/>
              </w:rPr>
            </w:pPr>
            <w:r>
              <w:rPr>
                <w:rFonts w:cstheme="minorHAnsi"/>
              </w:rPr>
              <w:t>35</w:t>
            </w:r>
            <w:r w:rsidR="004839DE" w:rsidRPr="008146B2">
              <w:rPr>
                <w:rFonts w:cstheme="minorHAnsi"/>
              </w:rPr>
              <w:t xml:space="preserve">0 </w:t>
            </w:r>
            <w:r w:rsidR="004839DE">
              <w:rPr>
                <w:rFonts w:cstheme="minorHAnsi"/>
              </w:rPr>
              <w:t>eur</w:t>
            </w:r>
            <w:r w:rsidR="004839DE" w:rsidRPr="005A5CA7">
              <w:rPr>
                <w:rFonts w:cstheme="minorHAnsi"/>
              </w:rPr>
              <w:t>/</w:t>
            </w:r>
            <w:r w:rsidR="004839DE">
              <w:rPr>
                <w:rFonts w:cstheme="minorHAnsi"/>
              </w:rPr>
              <w:t>ks</w:t>
            </w:r>
            <w:r w:rsidR="003457FB">
              <w:rPr>
                <w:rFonts w:cstheme="minorHAnsi"/>
              </w:rPr>
              <w:t>/byt</w:t>
            </w:r>
          </w:p>
        </w:tc>
        <w:tc>
          <w:tcPr>
            <w:tcW w:w="1985" w:type="dxa"/>
            <w:vAlign w:val="center"/>
          </w:tcPr>
          <w:p w14:paraId="028EBEA3" w14:textId="262F2BBA" w:rsidR="004839DE" w:rsidRPr="0054336F" w:rsidRDefault="00C366FC" w:rsidP="004839DE">
            <w:pPr>
              <w:jc w:val="center"/>
              <w:rPr>
                <w:rFonts w:cstheme="minorHAnsi"/>
              </w:rPr>
            </w:pPr>
            <w:r>
              <w:rPr>
                <w:rFonts w:cstheme="minorHAnsi"/>
              </w:rPr>
              <w:t>NA</w:t>
            </w:r>
          </w:p>
        </w:tc>
        <w:tc>
          <w:tcPr>
            <w:tcW w:w="2977" w:type="dxa"/>
            <w:vAlign w:val="center"/>
          </w:tcPr>
          <w:p w14:paraId="39341B87" w14:textId="0481496E" w:rsidR="004839DE" w:rsidRPr="004839DE" w:rsidRDefault="00141F36" w:rsidP="004839DE">
            <w:pPr>
              <w:rPr>
                <w:rFonts w:cstheme="minorHAnsi"/>
                <w:sz w:val="20"/>
                <w:szCs w:val="20"/>
              </w:rPr>
            </w:pPr>
            <w:r>
              <w:rPr>
                <w:rFonts w:cstheme="minorHAnsi"/>
                <w:sz w:val="20"/>
                <w:szCs w:val="20"/>
              </w:rPr>
              <w:t>Z</w:t>
            </w:r>
            <w:r w:rsidR="004839DE" w:rsidRPr="004839DE">
              <w:rPr>
                <w:rFonts w:cstheme="minorHAnsi"/>
                <w:sz w:val="20"/>
                <w:szCs w:val="20"/>
              </w:rPr>
              <w:t>ariadenie na bezpečné uskladnenie a uchovanie potravín (chladnička s mraziacou priehradkou alebo chladnička s mrazničkou, rozmery max do 600 x 600 x 1500 mm, celkový objem min 125 litrov) vrátane bezpečného uvedenia do prevádzky</w:t>
            </w:r>
          </w:p>
        </w:tc>
      </w:tr>
    </w:tbl>
    <w:p w14:paraId="38DB1333" w14:textId="77777777" w:rsidR="004839DE" w:rsidRDefault="004839DE" w:rsidP="00CE09FD">
      <w:pPr>
        <w:pStyle w:val="Popis"/>
        <w:keepNext/>
        <w:jc w:val="both"/>
        <w:rPr>
          <w:rFonts w:cstheme="minorHAnsi"/>
          <w:b/>
          <w:bCs/>
          <w:sz w:val="22"/>
          <w:szCs w:val="22"/>
          <w:u w:val="single"/>
        </w:rPr>
      </w:pPr>
    </w:p>
    <w:p w14:paraId="78ECBEA7" w14:textId="59EECA7D" w:rsidR="00CE09FD" w:rsidRPr="008146B2" w:rsidRDefault="00CE09FD" w:rsidP="00CE09FD">
      <w:pPr>
        <w:pStyle w:val="Popis"/>
        <w:keepNext/>
        <w:jc w:val="both"/>
        <w:rPr>
          <w:rFonts w:cstheme="minorHAnsi"/>
          <w:sz w:val="22"/>
          <w:szCs w:val="22"/>
        </w:rPr>
      </w:pPr>
      <w:r w:rsidRPr="008146B2">
        <w:rPr>
          <w:rFonts w:cstheme="minorHAnsi"/>
          <w:b/>
          <w:bCs/>
          <w:sz w:val="22"/>
          <w:szCs w:val="22"/>
          <w:u w:val="single"/>
        </w:rPr>
        <w:t>Upozornenie</w:t>
      </w:r>
      <w:r w:rsidRPr="008146B2">
        <w:rPr>
          <w:rFonts w:cstheme="minorHAnsi"/>
          <w:i w:val="0"/>
          <w:iCs w:val="0"/>
          <w:color w:val="auto"/>
          <w:sz w:val="22"/>
          <w:szCs w:val="22"/>
        </w:rPr>
        <w:t xml:space="preserve">: výška výdavkov na stavebný dozor a projektovú dokumentáciu sa odvíja výlučne od výdavkov stanovených ako stavebné práce. Preto je nevyhnutné, aby </w:t>
      </w:r>
      <w:proofErr w:type="spellStart"/>
      <w:r w:rsidRPr="008146B2">
        <w:rPr>
          <w:rFonts w:cstheme="minorHAnsi"/>
          <w:i w:val="0"/>
          <w:iCs w:val="0"/>
          <w:color w:val="auto"/>
          <w:sz w:val="22"/>
          <w:szCs w:val="22"/>
        </w:rPr>
        <w:t>položkové</w:t>
      </w:r>
      <w:proofErr w:type="spellEnd"/>
      <w:r w:rsidRPr="008146B2">
        <w:rPr>
          <w:rFonts w:cstheme="minorHAnsi"/>
          <w:i w:val="0"/>
          <w:iCs w:val="0"/>
          <w:color w:val="auto"/>
          <w:sz w:val="22"/>
          <w:szCs w:val="22"/>
        </w:rPr>
        <w:t xml:space="preserve"> rozpočty boli rozdelené podľa horeuvedených skupín (spôsobov realizácie) a následne aj</w:t>
      </w:r>
      <w:r w:rsidRPr="008146B2">
        <w:rPr>
          <w:rFonts w:cstheme="minorHAnsi"/>
          <w:sz w:val="22"/>
          <w:szCs w:val="22"/>
        </w:rPr>
        <w:t xml:space="preserve"> </w:t>
      </w:r>
      <w:r w:rsidRPr="008146B2">
        <w:rPr>
          <w:rFonts w:cstheme="minorHAnsi"/>
          <w:i w:val="0"/>
          <w:iCs w:val="0"/>
          <w:color w:val="auto"/>
          <w:sz w:val="22"/>
          <w:szCs w:val="22"/>
        </w:rPr>
        <w:t>podľa spôsobu verejného obstarania (napr. 021 – Stavby, 022 - Samostatné hnuteľné veci a súbor hnuteľných vecí</w:t>
      </w:r>
      <w:r w:rsidRPr="008146B2">
        <w:rPr>
          <w:rFonts w:cstheme="minorHAnsi"/>
          <w:sz w:val="22"/>
          <w:szCs w:val="22"/>
        </w:rPr>
        <w:t>).</w:t>
      </w:r>
    </w:p>
    <w:p w14:paraId="6DD56D7C" w14:textId="3FAEA3B2" w:rsidR="00A24D61" w:rsidDel="00656164" w:rsidRDefault="00A24D61" w:rsidP="00751AAA">
      <w:pPr>
        <w:autoSpaceDE w:val="0"/>
        <w:autoSpaceDN w:val="0"/>
        <w:adjustRightInd w:val="0"/>
        <w:spacing w:line="240" w:lineRule="auto"/>
        <w:jc w:val="both"/>
        <w:rPr>
          <w:del w:id="74" w:author="Hajdin Miloš" w:date="2025-04-07T11:21:00Z" w16du:dateUtc="2025-04-07T09:21:00Z"/>
          <w:b/>
        </w:rPr>
      </w:pPr>
    </w:p>
    <w:p w14:paraId="4C2C8920" w14:textId="77777777" w:rsidR="00E82C99" w:rsidRDefault="00E82C99" w:rsidP="00751AAA">
      <w:pPr>
        <w:autoSpaceDE w:val="0"/>
        <w:autoSpaceDN w:val="0"/>
        <w:adjustRightInd w:val="0"/>
        <w:spacing w:line="240" w:lineRule="auto"/>
        <w:jc w:val="both"/>
        <w:rPr>
          <w:b/>
        </w:rPr>
      </w:pPr>
    </w:p>
    <w:p w14:paraId="762A7CC3" w14:textId="27C91E37" w:rsidR="00A24D61" w:rsidRDefault="00A24D61" w:rsidP="00A24D61">
      <w:pPr>
        <w:autoSpaceDE w:val="0"/>
        <w:autoSpaceDN w:val="0"/>
        <w:adjustRightInd w:val="0"/>
        <w:spacing w:line="240" w:lineRule="auto"/>
        <w:jc w:val="both"/>
        <w:rPr>
          <w:b/>
        </w:rPr>
      </w:pPr>
      <w:r>
        <w:rPr>
          <w:b/>
        </w:rPr>
        <w:t xml:space="preserve">Finančné podmienky pre pozíciu asistenta bývania obstaraného </w:t>
      </w:r>
      <w:r w:rsidRPr="00A93EB1">
        <w:rPr>
          <w:b/>
          <w:u w:val="single"/>
        </w:rPr>
        <w:t>dodávateľským spôsobom</w:t>
      </w:r>
    </w:p>
    <w:p w14:paraId="57013B13" w14:textId="43B8D340" w:rsidR="00A24D61" w:rsidRPr="00BD3546" w:rsidRDefault="00A24D61" w:rsidP="00A24D61">
      <w:pPr>
        <w:autoSpaceDE w:val="0"/>
        <w:autoSpaceDN w:val="0"/>
        <w:adjustRightInd w:val="0"/>
        <w:spacing w:after="0" w:line="240" w:lineRule="auto"/>
        <w:jc w:val="both"/>
        <w:rPr>
          <w:i/>
          <w:sz w:val="18"/>
        </w:rPr>
      </w:pPr>
      <w:r w:rsidRPr="00BD3546">
        <w:rPr>
          <w:i/>
          <w:sz w:val="18"/>
        </w:rPr>
        <w:t xml:space="preserve">Tabuľka </w:t>
      </w:r>
      <w:r>
        <w:rPr>
          <w:i/>
          <w:sz w:val="18"/>
        </w:rPr>
        <w:t>7</w:t>
      </w:r>
      <w:r w:rsidRPr="00BD3546">
        <w:rPr>
          <w:i/>
          <w:sz w:val="18"/>
        </w:rPr>
        <w:t xml:space="preserve"> – Určenie </w:t>
      </w:r>
      <w:r w:rsidR="000B5FDB">
        <w:rPr>
          <w:i/>
          <w:sz w:val="18"/>
        </w:rPr>
        <w:t xml:space="preserve">maximálneho počtu odpracovaných hodín </w:t>
      </w:r>
      <w:r w:rsidRPr="00BD3546">
        <w:rPr>
          <w:i/>
          <w:sz w:val="18"/>
        </w:rPr>
        <w:t>k počtu bytových jednotiek a určenie maximálne</w:t>
      </w:r>
      <w:r>
        <w:rPr>
          <w:i/>
          <w:sz w:val="18"/>
        </w:rPr>
        <w:t xml:space="preserve">ho finančného limitu </w:t>
      </w:r>
      <w:r w:rsidR="000B5FDB">
        <w:rPr>
          <w:i/>
          <w:sz w:val="18"/>
        </w:rPr>
        <w:t xml:space="preserve">pre odplatu </w:t>
      </w:r>
      <w:r>
        <w:rPr>
          <w:i/>
          <w:sz w:val="18"/>
        </w:rPr>
        <w:t>za poskytované služby</w:t>
      </w:r>
    </w:p>
    <w:tbl>
      <w:tblPr>
        <w:tblStyle w:val="Mriekatabuky"/>
        <w:tblW w:w="0" w:type="auto"/>
        <w:tblLook w:val="04A0" w:firstRow="1" w:lastRow="0" w:firstColumn="1" w:lastColumn="0" w:noHBand="0" w:noVBand="1"/>
      </w:tblPr>
      <w:tblGrid>
        <w:gridCol w:w="2263"/>
        <w:gridCol w:w="2265"/>
        <w:gridCol w:w="2266"/>
        <w:gridCol w:w="2266"/>
      </w:tblGrid>
      <w:tr w:rsidR="00A24D61" w14:paraId="00D7E060" w14:textId="77777777" w:rsidTr="000B5FDB">
        <w:tc>
          <w:tcPr>
            <w:tcW w:w="2263" w:type="dxa"/>
            <w:vAlign w:val="center"/>
          </w:tcPr>
          <w:p w14:paraId="65443A04" w14:textId="77777777" w:rsidR="00A24D61" w:rsidRDefault="00A24D61" w:rsidP="000F1E52">
            <w:pPr>
              <w:jc w:val="center"/>
              <w:rPr>
                <w:rFonts w:cstheme="minorHAnsi"/>
              </w:rPr>
            </w:pPr>
          </w:p>
        </w:tc>
        <w:tc>
          <w:tcPr>
            <w:tcW w:w="2265" w:type="dxa"/>
            <w:vAlign w:val="center"/>
          </w:tcPr>
          <w:p w14:paraId="05729DCC" w14:textId="6970C46C" w:rsidR="00A24D61" w:rsidRPr="00DB0E7D" w:rsidRDefault="00A24D61">
            <w:pPr>
              <w:jc w:val="center"/>
              <w:rPr>
                <w:rFonts w:cstheme="minorHAnsi"/>
                <w:b/>
              </w:rPr>
            </w:pPr>
            <w:r>
              <w:rPr>
                <w:rFonts w:cstheme="minorHAnsi"/>
                <w:b/>
              </w:rPr>
              <w:t>do 32 hod./mesiac</w:t>
            </w:r>
          </w:p>
        </w:tc>
        <w:tc>
          <w:tcPr>
            <w:tcW w:w="2266" w:type="dxa"/>
            <w:vAlign w:val="center"/>
          </w:tcPr>
          <w:p w14:paraId="191C55A2" w14:textId="53A48878" w:rsidR="00A24D61" w:rsidRPr="00DB0E7D" w:rsidRDefault="00A24D61">
            <w:pPr>
              <w:jc w:val="center"/>
              <w:rPr>
                <w:rFonts w:cstheme="minorHAnsi"/>
                <w:b/>
              </w:rPr>
            </w:pPr>
            <w:r>
              <w:rPr>
                <w:rFonts w:cstheme="minorHAnsi"/>
                <w:b/>
              </w:rPr>
              <w:t>33 – 80 hod./mesiac</w:t>
            </w:r>
          </w:p>
        </w:tc>
        <w:tc>
          <w:tcPr>
            <w:tcW w:w="2266" w:type="dxa"/>
            <w:vAlign w:val="center"/>
          </w:tcPr>
          <w:p w14:paraId="6F0DD601" w14:textId="0BFE5B0E" w:rsidR="00A24D61" w:rsidRPr="00DB0E7D" w:rsidRDefault="00A24D61">
            <w:pPr>
              <w:jc w:val="center"/>
              <w:rPr>
                <w:rFonts w:cstheme="minorHAnsi"/>
                <w:b/>
              </w:rPr>
            </w:pPr>
            <w:r>
              <w:rPr>
                <w:rFonts w:cstheme="minorHAnsi"/>
                <w:b/>
              </w:rPr>
              <w:t>81 – 160 hod./mesiac</w:t>
            </w:r>
          </w:p>
        </w:tc>
      </w:tr>
      <w:tr w:rsidR="00A24D61" w14:paraId="6340F303" w14:textId="77777777" w:rsidTr="00656164">
        <w:tc>
          <w:tcPr>
            <w:tcW w:w="2263" w:type="dxa"/>
            <w:vAlign w:val="center"/>
          </w:tcPr>
          <w:p w14:paraId="74C767A9" w14:textId="77777777" w:rsidR="00A24D61" w:rsidRPr="00DB0E7D" w:rsidRDefault="00A24D61" w:rsidP="000F1E52">
            <w:pPr>
              <w:jc w:val="center"/>
              <w:rPr>
                <w:rFonts w:cstheme="minorHAnsi"/>
                <w:b/>
              </w:rPr>
            </w:pPr>
            <w:r w:rsidRPr="00DB0E7D">
              <w:rPr>
                <w:rFonts w:cstheme="minorHAnsi"/>
                <w:b/>
              </w:rPr>
              <w:t>Min. počet bytových jednotiek na jedného asistenta bývania</w:t>
            </w:r>
          </w:p>
        </w:tc>
        <w:tc>
          <w:tcPr>
            <w:tcW w:w="2265" w:type="dxa"/>
            <w:vAlign w:val="center"/>
          </w:tcPr>
          <w:p w14:paraId="20E0C5B8" w14:textId="77777777" w:rsidR="00A24D61" w:rsidRDefault="00A24D61" w:rsidP="000F1E52">
            <w:pPr>
              <w:jc w:val="center"/>
              <w:rPr>
                <w:rFonts w:cstheme="minorHAnsi"/>
              </w:rPr>
            </w:pPr>
            <w:r>
              <w:rPr>
                <w:rFonts w:cstheme="minorHAnsi"/>
              </w:rPr>
              <w:t>2 b. j. – 5 b. j.</w:t>
            </w:r>
          </w:p>
        </w:tc>
        <w:tc>
          <w:tcPr>
            <w:tcW w:w="2266" w:type="dxa"/>
            <w:vAlign w:val="center"/>
          </w:tcPr>
          <w:p w14:paraId="6A0DE481" w14:textId="77777777" w:rsidR="00A24D61" w:rsidRDefault="00A24D61" w:rsidP="000F1E52">
            <w:pPr>
              <w:jc w:val="center"/>
              <w:rPr>
                <w:rFonts w:cstheme="minorHAnsi"/>
              </w:rPr>
            </w:pPr>
            <w:r>
              <w:rPr>
                <w:rFonts w:cstheme="minorHAnsi"/>
              </w:rPr>
              <w:t>6 b. j. – 11 b. j.</w:t>
            </w:r>
          </w:p>
        </w:tc>
        <w:tc>
          <w:tcPr>
            <w:tcW w:w="2266" w:type="dxa"/>
            <w:vAlign w:val="center"/>
          </w:tcPr>
          <w:p w14:paraId="32041FB3" w14:textId="77777777" w:rsidR="00A24D61" w:rsidRDefault="00A24D61" w:rsidP="000F1E52">
            <w:pPr>
              <w:jc w:val="center"/>
              <w:rPr>
                <w:rFonts w:cstheme="minorHAnsi"/>
              </w:rPr>
            </w:pPr>
            <w:r>
              <w:rPr>
                <w:rFonts w:cstheme="minorHAnsi"/>
              </w:rPr>
              <w:t>12 b. j.</w:t>
            </w:r>
          </w:p>
        </w:tc>
      </w:tr>
      <w:tr w:rsidR="00A24D61" w14:paraId="384C0799" w14:textId="77777777" w:rsidTr="00656164">
        <w:tc>
          <w:tcPr>
            <w:tcW w:w="2263" w:type="dxa"/>
            <w:vAlign w:val="center"/>
          </w:tcPr>
          <w:p w14:paraId="4DB7A3E3" w14:textId="77777777" w:rsidR="00A24D61" w:rsidRPr="00DB0E7D" w:rsidRDefault="00A24D61" w:rsidP="000F1E52">
            <w:pPr>
              <w:jc w:val="center"/>
              <w:rPr>
                <w:rFonts w:cstheme="minorHAnsi"/>
                <w:b/>
              </w:rPr>
            </w:pPr>
            <w:r w:rsidRPr="00DB0E7D">
              <w:rPr>
                <w:rFonts w:cstheme="minorHAnsi"/>
                <w:b/>
              </w:rPr>
              <w:t>Maximálny počet asistentov bývania</w:t>
            </w:r>
          </w:p>
        </w:tc>
        <w:tc>
          <w:tcPr>
            <w:tcW w:w="2265" w:type="dxa"/>
            <w:vAlign w:val="center"/>
          </w:tcPr>
          <w:p w14:paraId="19172797" w14:textId="77777777" w:rsidR="00A24D61" w:rsidRDefault="00A24D61" w:rsidP="000F1E52">
            <w:pPr>
              <w:jc w:val="center"/>
              <w:rPr>
                <w:rFonts w:cstheme="minorHAnsi"/>
              </w:rPr>
            </w:pPr>
            <w:r>
              <w:rPr>
                <w:rFonts w:cstheme="minorHAnsi"/>
              </w:rPr>
              <w:t>1 asistent bývania</w:t>
            </w:r>
          </w:p>
        </w:tc>
        <w:tc>
          <w:tcPr>
            <w:tcW w:w="2266" w:type="dxa"/>
            <w:vAlign w:val="center"/>
          </w:tcPr>
          <w:p w14:paraId="28568374" w14:textId="77777777" w:rsidR="00A24D61" w:rsidRDefault="00A24D61" w:rsidP="000F1E52">
            <w:pPr>
              <w:jc w:val="center"/>
              <w:rPr>
                <w:rFonts w:cstheme="minorHAnsi"/>
              </w:rPr>
            </w:pPr>
            <w:r>
              <w:rPr>
                <w:rFonts w:cstheme="minorHAnsi"/>
              </w:rPr>
              <w:t>1 asistent bývania</w:t>
            </w:r>
          </w:p>
        </w:tc>
        <w:tc>
          <w:tcPr>
            <w:tcW w:w="2266" w:type="dxa"/>
            <w:vAlign w:val="center"/>
          </w:tcPr>
          <w:p w14:paraId="19FDCA71" w14:textId="77777777" w:rsidR="00A24D61" w:rsidRDefault="00A24D61" w:rsidP="000F1E52">
            <w:pPr>
              <w:jc w:val="center"/>
              <w:rPr>
                <w:rFonts w:cstheme="minorHAnsi"/>
              </w:rPr>
            </w:pPr>
            <w:r>
              <w:rPr>
                <w:rFonts w:cstheme="minorHAnsi"/>
              </w:rPr>
              <w:t>3 asistenti bývania</w:t>
            </w:r>
          </w:p>
        </w:tc>
      </w:tr>
      <w:tr w:rsidR="000B5FDB" w14:paraId="42320126" w14:textId="77777777" w:rsidTr="00656164">
        <w:tc>
          <w:tcPr>
            <w:tcW w:w="2263" w:type="dxa"/>
            <w:vAlign w:val="center"/>
          </w:tcPr>
          <w:p w14:paraId="57CC5B69" w14:textId="4DE45264" w:rsidR="000B5FDB" w:rsidRPr="00DB0E7D" w:rsidRDefault="000B5FDB" w:rsidP="000F1E52">
            <w:pPr>
              <w:jc w:val="center"/>
              <w:rPr>
                <w:rFonts w:cstheme="minorHAnsi"/>
                <w:b/>
              </w:rPr>
            </w:pPr>
            <w:r>
              <w:rPr>
                <w:rFonts w:cstheme="minorHAnsi"/>
                <w:b/>
              </w:rPr>
              <w:t>Finančný limit (eur/hod.)</w:t>
            </w:r>
            <w:ins w:id="75" w:author="Hajdin Miloš" w:date="2025-04-07T11:23:00Z" w16du:dateUtc="2025-04-07T09:23:00Z">
              <w:r w:rsidR="00656164">
                <w:rPr>
                  <w:rFonts w:cstheme="minorHAnsi"/>
                  <w:b/>
                </w:rPr>
                <w:t xml:space="preserve"> pre rok 2025</w:t>
              </w:r>
            </w:ins>
          </w:p>
        </w:tc>
        <w:tc>
          <w:tcPr>
            <w:tcW w:w="6797" w:type="dxa"/>
            <w:gridSpan w:val="3"/>
            <w:vAlign w:val="center"/>
          </w:tcPr>
          <w:p w14:paraId="13D2DB2C" w14:textId="30392CD4" w:rsidR="000B5FDB" w:rsidRDefault="000B5FDB" w:rsidP="000F1E52">
            <w:pPr>
              <w:jc w:val="center"/>
              <w:rPr>
                <w:rFonts w:cstheme="minorHAnsi"/>
              </w:rPr>
            </w:pPr>
            <w:r>
              <w:rPr>
                <w:rFonts w:cstheme="minorHAnsi"/>
              </w:rPr>
              <w:t>6,</w:t>
            </w:r>
            <w:del w:id="76" w:author="Hajdin Miloš" w:date="2025-04-07T11:24:00Z" w16du:dateUtc="2025-04-07T09:24:00Z">
              <w:r w:rsidR="00FA2678" w:rsidDel="00656164">
                <w:rPr>
                  <w:rFonts w:cstheme="minorHAnsi"/>
                </w:rPr>
                <w:delText>77</w:delText>
              </w:r>
            </w:del>
            <w:ins w:id="77" w:author="Hajdin Miloš" w:date="2025-04-07T11:24:00Z" w16du:dateUtc="2025-04-07T09:24:00Z">
              <w:r w:rsidR="00656164">
                <w:rPr>
                  <w:rFonts w:cstheme="minorHAnsi"/>
                </w:rPr>
                <w:t>60</w:t>
              </w:r>
            </w:ins>
            <w:r>
              <w:rPr>
                <w:rFonts w:cstheme="minorHAnsi"/>
              </w:rPr>
              <w:t xml:space="preserve"> eur/hod (s nárokom na vrátenie DPH)</w:t>
            </w:r>
          </w:p>
          <w:p w14:paraId="3858D00B" w14:textId="4B8D4C7B" w:rsidR="000B5FDB" w:rsidRDefault="00FA2678">
            <w:pPr>
              <w:jc w:val="center"/>
              <w:rPr>
                <w:rFonts w:cstheme="minorHAnsi"/>
              </w:rPr>
            </w:pPr>
            <w:r>
              <w:rPr>
                <w:rFonts w:cstheme="minorHAnsi"/>
              </w:rPr>
              <w:t>8</w:t>
            </w:r>
            <w:r w:rsidR="000B5FDB">
              <w:rPr>
                <w:rFonts w:cstheme="minorHAnsi"/>
              </w:rPr>
              <w:t>,</w:t>
            </w:r>
            <w:r>
              <w:rPr>
                <w:rFonts w:cstheme="minorHAnsi"/>
              </w:rPr>
              <w:t>12</w:t>
            </w:r>
            <w:r w:rsidR="000B5FDB">
              <w:rPr>
                <w:rFonts w:cstheme="minorHAnsi"/>
              </w:rPr>
              <w:t xml:space="preserve"> eur/hod (bez nároku na vrátenie DPH)</w:t>
            </w:r>
          </w:p>
        </w:tc>
      </w:tr>
      <w:tr w:rsidR="00656164" w14:paraId="5BCAD7D5" w14:textId="77777777" w:rsidTr="00656164">
        <w:trPr>
          <w:ins w:id="78" w:author="Hajdin Miloš" w:date="2025-04-07T11:23:00Z"/>
        </w:trPr>
        <w:tc>
          <w:tcPr>
            <w:tcW w:w="2263" w:type="dxa"/>
            <w:vAlign w:val="center"/>
          </w:tcPr>
          <w:p w14:paraId="72B8FFF9" w14:textId="673C278B" w:rsidR="00656164" w:rsidRDefault="00656164" w:rsidP="00656164">
            <w:pPr>
              <w:jc w:val="center"/>
              <w:rPr>
                <w:ins w:id="79" w:author="Hajdin Miloš" w:date="2025-04-07T11:23:00Z" w16du:dateUtc="2025-04-07T09:23:00Z"/>
                <w:rFonts w:cstheme="minorHAnsi"/>
                <w:b/>
              </w:rPr>
            </w:pPr>
            <w:ins w:id="80" w:author="Hajdin Miloš" w:date="2025-04-07T11:24:00Z" w16du:dateUtc="2025-04-07T09:24:00Z">
              <w:r>
                <w:rPr>
                  <w:rFonts w:cstheme="minorHAnsi"/>
                  <w:b/>
                </w:rPr>
                <w:t>Finančný limit (eur/hod.) pre rok 2026</w:t>
              </w:r>
            </w:ins>
          </w:p>
        </w:tc>
        <w:tc>
          <w:tcPr>
            <w:tcW w:w="6797" w:type="dxa"/>
            <w:gridSpan w:val="3"/>
            <w:vAlign w:val="center"/>
          </w:tcPr>
          <w:p w14:paraId="09C5DFA2" w14:textId="77777777" w:rsidR="00656164" w:rsidRDefault="00656164" w:rsidP="00656164">
            <w:pPr>
              <w:jc w:val="center"/>
              <w:rPr>
                <w:ins w:id="81" w:author="Hajdin Miloš" w:date="2025-04-07T11:24:00Z" w16du:dateUtc="2025-04-07T09:24:00Z"/>
                <w:rFonts w:cstheme="minorHAnsi"/>
              </w:rPr>
            </w:pPr>
            <w:ins w:id="82" w:author="Hajdin Miloš" w:date="2025-04-07T11:24:00Z" w16du:dateUtc="2025-04-07T09:24:00Z">
              <w:r>
                <w:rPr>
                  <w:rFonts w:cstheme="minorHAnsi"/>
                </w:rPr>
                <w:t>7,06 eur/hod (s nárokom na vrátenie DPH)</w:t>
              </w:r>
            </w:ins>
          </w:p>
          <w:p w14:paraId="3E40ECD7" w14:textId="0720FF0E" w:rsidR="00656164" w:rsidRDefault="00656164" w:rsidP="00656164">
            <w:pPr>
              <w:jc w:val="center"/>
              <w:rPr>
                <w:ins w:id="83" w:author="Hajdin Miloš" w:date="2025-04-07T11:23:00Z" w16du:dateUtc="2025-04-07T09:23:00Z"/>
                <w:rFonts w:cstheme="minorHAnsi"/>
              </w:rPr>
            </w:pPr>
            <w:ins w:id="84" w:author="Hajdin Miloš" w:date="2025-04-07T11:24:00Z" w16du:dateUtc="2025-04-07T09:24:00Z">
              <w:r>
                <w:rPr>
                  <w:rFonts w:cstheme="minorHAnsi"/>
                </w:rPr>
                <w:t>8,68 eur/hod (bez nároku na vrátenie DPH)</w:t>
              </w:r>
            </w:ins>
          </w:p>
        </w:tc>
      </w:tr>
      <w:tr w:rsidR="00656164" w14:paraId="72B65CAC" w14:textId="77777777" w:rsidTr="00656164">
        <w:trPr>
          <w:ins w:id="85" w:author="Hajdin Miloš" w:date="2025-04-07T11:23:00Z"/>
        </w:trPr>
        <w:tc>
          <w:tcPr>
            <w:tcW w:w="2263" w:type="dxa"/>
            <w:vAlign w:val="center"/>
          </w:tcPr>
          <w:p w14:paraId="3164B16C" w14:textId="17E56E37" w:rsidR="00656164" w:rsidRDefault="00656164" w:rsidP="00656164">
            <w:pPr>
              <w:jc w:val="center"/>
              <w:rPr>
                <w:ins w:id="86" w:author="Hajdin Miloš" w:date="2025-04-07T11:23:00Z" w16du:dateUtc="2025-04-07T09:23:00Z"/>
                <w:rFonts w:cstheme="minorHAnsi"/>
                <w:b/>
              </w:rPr>
            </w:pPr>
            <w:ins w:id="87" w:author="Hajdin Miloš" w:date="2025-04-07T11:24:00Z" w16du:dateUtc="2025-04-07T09:24:00Z">
              <w:r>
                <w:rPr>
                  <w:rFonts w:cstheme="minorHAnsi"/>
                  <w:b/>
                </w:rPr>
                <w:t>Finančný limit (eur/hod.) pre rok 2027</w:t>
              </w:r>
            </w:ins>
          </w:p>
        </w:tc>
        <w:tc>
          <w:tcPr>
            <w:tcW w:w="6797" w:type="dxa"/>
            <w:gridSpan w:val="3"/>
            <w:vAlign w:val="center"/>
          </w:tcPr>
          <w:p w14:paraId="57C1FB50" w14:textId="77777777" w:rsidR="00656164" w:rsidRDefault="00656164" w:rsidP="00656164">
            <w:pPr>
              <w:jc w:val="center"/>
              <w:rPr>
                <w:ins w:id="88" w:author="Hajdin Miloš" w:date="2025-04-07T11:24:00Z" w16du:dateUtc="2025-04-07T09:24:00Z"/>
                <w:rFonts w:cstheme="minorHAnsi"/>
              </w:rPr>
            </w:pPr>
            <w:ins w:id="89" w:author="Hajdin Miloš" w:date="2025-04-07T11:24:00Z" w16du:dateUtc="2025-04-07T09:24:00Z">
              <w:r>
                <w:rPr>
                  <w:rFonts w:cstheme="minorHAnsi"/>
                </w:rPr>
                <w:t>7,55 eur/hod (s nárokom na vrátenie DPH)</w:t>
              </w:r>
            </w:ins>
          </w:p>
          <w:p w14:paraId="7EF75CF7" w14:textId="47D302E7" w:rsidR="00656164" w:rsidRDefault="00656164" w:rsidP="00656164">
            <w:pPr>
              <w:jc w:val="center"/>
              <w:rPr>
                <w:ins w:id="90" w:author="Hajdin Miloš" w:date="2025-04-07T11:23:00Z" w16du:dateUtc="2025-04-07T09:23:00Z"/>
                <w:rFonts w:cstheme="minorHAnsi"/>
              </w:rPr>
            </w:pPr>
            <w:ins w:id="91" w:author="Hajdin Miloš" w:date="2025-04-07T11:24:00Z" w16du:dateUtc="2025-04-07T09:24:00Z">
              <w:r>
                <w:rPr>
                  <w:rFonts w:cstheme="minorHAnsi"/>
                </w:rPr>
                <w:t>9,29 eur/hod (bez nároku na vrátenie DPH)</w:t>
              </w:r>
            </w:ins>
          </w:p>
        </w:tc>
      </w:tr>
      <w:tr w:rsidR="00656164" w14:paraId="0F8BE99E" w14:textId="77777777" w:rsidTr="00656164">
        <w:trPr>
          <w:ins w:id="92" w:author="Hajdin Miloš" w:date="2025-04-07T11:23:00Z"/>
        </w:trPr>
        <w:tc>
          <w:tcPr>
            <w:tcW w:w="2263" w:type="dxa"/>
            <w:vAlign w:val="center"/>
          </w:tcPr>
          <w:p w14:paraId="2EBE239E" w14:textId="052345C4" w:rsidR="00656164" w:rsidRDefault="00656164" w:rsidP="00656164">
            <w:pPr>
              <w:jc w:val="center"/>
              <w:rPr>
                <w:ins w:id="93" w:author="Hajdin Miloš" w:date="2025-04-07T11:23:00Z" w16du:dateUtc="2025-04-07T09:23:00Z"/>
                <w:rFonts w:cstheme="minorHAnsi"/>
                <w:b/>
              </w:rPr>
            </w:pPr>
            <w:ins w:id="94" w:author="Hajdin Miloš" w:date="2025-04-07T11:24:00Z" w16du:dateUtc="2025-04-07T09:24:00Z">
              <w:r>
                <w:rPr>
                  <w:rFonts w:cstheme="minorHAnsi"/>
                  <w:b/>
                </w:rPr>
                <w:t>Finančný limit (eur/hod.) pre rok 2028</w:t>
              </w:r>
            </w:ins>
          </w:p>
        </w:tc>
        <w:tc>
          <w:tcPr>
            <w:tcW w:w="6797" w:type="dxa"/>
            <w:gridSpan w:val="3"/>
            <w:vAlign w:val="center"/>
          </w:tcPr>
          <w:p w14:paraId="35382E9F" w14:textId="77777777" w:rsidR="00656164" w:rsidRDefault="00656164" w:rsidP="00656164">
            <w:pPr>
              <w:jc w:val="center"/>
              <w:rPr>
                <w:ins w:id="95" w:author="Hajdin Miloš" w:date="2025-04-07T11:24:00Z" w16du:dateUtc="2025-04-07T09:24:00Z"/>
                <w:rFonts w:cstheme="minorHAnsi"/>
              </w:rPr>
            </w:pPr>
            <w:ins w:id="96" w:author="Hajdin Miloš" w:date="2025-04-07T11:24:00Z" w16du:dateUtc="2025-04-07T09:24:00Z">
              <w:r>
                <w:rPr>
                  <w:rFonts w:cstheme="minorHAnsi"/>
                </w:rPr>
                <w:t>8,08 eur/hod (s nárokom na vrátenie DPH)</w:t>
              </w:r>
            </w:ins>
          </w:p>
          <w:p w14:paraId="4F6923B6" w14:textId="47614900" w:rsidR="00656164" w:rsidRDefault="00656164" w:rsidP="00656164">
            <w:pPr>
              <w:jc w:val="center"/>
              <w:rPr>
                <w:ins w:id="97" w:author="Hajdin Miloš" w:date="2025-04-07T11:23:00Z" w16du:dateUtc="2025-04-07T09:23:00Z"/>
                <w:rFonts w:cstheme="minorHAnsi"/>
              </w:rPr>
            </w:pPr>
            <w:ins w:id="98" w:author="Hajdin Miloš" w:date="2025-04-07T11:24:00Z" w16du:dateUtc="2025-04-07T09:24:00Z">
              <w:r>
                <w:rPr>
                  <w:rFonts w:cstheme="minorHAnsi"/>
                </w:rPr>
                <w:t>9,94 eur/hod (bez nároku na vrátenie DPH)</w:t>
              </w:r>
            </w:ins>
          </w:p>
        </w:tc>
      </w:tr>
      <w:tr w:rsidR="00656164" w14:paraId="53D4ED62" w14:textId="77777777" w:rsidTr="00656164">
        <w:trPr>
          <w:ins w:id="99" w:author="Hajdin Miloš" w:date="2025-04-07T11:23:00Z"/>
        </w:trPr>
        <w:tc>
          <w:tcPr>
            <w:tcW w:w="2263" w:type="dxa"/>
            <w:vAlign w:val="center"/>
          </w:tcPr>
          <w:p w14:paraId="672EB1AF" w14:textId="7A3A6A86" w:rsidR="00656164" w:rsidRDefault="00656164" w:rsidP="00656164">
            <w:pPr>
              <w:jc w:val="center"/>
              <w:rPr>
                <w:ins w:id="100" w:author="Hajdin Miloš" w:date="2025-04-07T11:23:00Z" w16du:dateUtc="2025-04-07T09:23:00Z"/>
                <w:rFonts w:cstheme="minorHAnsi"/>
                <w:b/>
              </w:rPr>
            </w:pPr>
            <w:ins w:id="101" w:author="Hajdin Miloš" w:date="2025-04-07T11:24:00Z" w16du:dateUtc="2025-04-07T09:24:00Z">
              <w:r>
                <w:rPr>
                  <w:rFonts w:cstheme="minorHAnsi"/>
                  <w:b/>
                </w:rPr>
                <w:lastRenderedPageBreak/>
                <w:t>Finančný limit (eur/hod.) pre rok 2029</w:t>
              </w:r>
            </w:ins>
          </w:p>
        </w:tc>
        <w:tc>
          <w:tcPr>
            <w:tcW w:w="6797" w:type="dxa"/>
            <w:gridSpan w:val="3"/>
            <w:vAlign w:val="center"/>
          </w:tcPr>
          <w:p w14:paraId="2E159B9B" w14:textId="77777777" w:rsidR="00656164" w:rsidRDefault="00656164" w:rsidP="00656164">
            <w:pPr>
              <w:jc w:val="center"/>
              <w:rPr>
                <w:ins w:id="102" w:author="Hajdin Miloš" w:date="2025-04-07T11:24:00Z" w16du:dateUtc="2025-04-07T09:24:00Z"/>
                <w:rFonts w:cstheme="minorHAnsi"/>
              </w:rPr>
            </w:pPr>
            <w:ins w:id="103" w:author="Hajdin Miloš" w:date="2025-04-07T11:24:00Z" w16du:dateUtc="2025-04-07T09:24:00Z">
              <w:r>
                <w:rPr>
                  <w:rFonts w:cstheme="minorHAnsi"/>
                </w:rPr>
                <w:t>8,64 eur/hod (s nárokom na vrátenie DPH)</w:t>
              </w:r>
            </w:ins>
          </w:p>
          <w:p w14:paraId="056376E5" w14:textId="0DFF45C7" w:rsidR="00656164" w:rsidRDefault="00656164" w:rsidP="00656164">
            <w:pPr>
              <w:jc w:val="center"/>
              <w:rPr>
                <w:ins w:id="104" w:author="Hajdin Miloš" w:date="2025-04-07T11:23:00Z" w16du:dateUtc="2025-04-07T09:23:00Z"/>
                <w:rFonts w:cstheme="minorHAnsi"/>
              </w:rPr>
            </w:pPr>
            <w:ins w:id="105" w:author="Hajdin Miloš" w:date="2025-04-07T11:24:00Z" w16du:dateUtc="2025-04-07T09:24:00Z">
              <w:r>
                <w:rPr>
                  <w:rFonts w:cstheme="minorHAnsi"/>
                </w:rPr>
                <w:t>10,63 eur/hod (bez nároku na vrátenie DPH)</w:t>
              </w:r>
            </w:ins>
          </w:p>
        </w:tc>
      </w:tr>
    </w:tbl>
    <w:p w14:paraId="1362EFC4" w14:textId="77777777" w:rsidR="00A24D61" w:rsidRDefault="00A24D61" w:rsidP="00A24D61">
      <w:pPr>
        <w:rPr>
          <w:rFonts w:cstheme="minorHAnsi"/>
          <w:i/>
        </w:rPr>
      </w:pPr>
    </w:p>
    <w:p w14:paraId="2527E08C" w14:textId="383ED178" w:rsidR="00751AAA" w:rsidRPr="00A93EB1" w:rsidRDefault="00A24D61" w:rsidP="00751AAA">
      <w:pPr>
        <w:autoSpaceDE w:val="0"/>
        <w:autoSpaceDN w:val="0"/>
        <w:adjustRightInd w:val="0"/>
        <w:spacing w:line="240" w:lineRule="auto"/>
        <w:jc w:val="both"/>
        <w:rPr>
          <w:b/>
          <w:u w:val="single"/>
        </w:rPr>
      </w:pPr>
      <w:r>
        <w:rPr>
          <w:b/>
        </w:rPr>
        <w:t>F</w:t>
      </w:r>
      <w:r w:rsidR="00751AAA">
        <w:rPr>
          <w:b/>
        </w:rPr>
        <w:t>inančné podmienky pre pozíciu asistenta bývania</w:t>
      </w:r>
      <w:r>
        <w:rPr>
          <w:b/>
        </w:rPr>
        <w:t xml:space="preserve"> ako </w:t>
      </w:r>
      <w:r w:rsidRPr="00A93EB1">
        <w:rPr>
          <w:b/>
          <w:u w:val="single"/>
        </w:rPr>
        <w:t>interného zamestnanca</w:t>
      </w:r>
    </w:p>
    <w:p w14:paraId="05DE0E7E" w14:textId="7CF1AD65" w:rsidR="00751AAA" w:rsidRPr="00BD3546" w:rsidRDefault="00751AAA" w:rsidP="00751AAA">
      <w:pPr>
        <w:autoSpaceDE w:val="0"/>
        <w:autoSpaceDN w:val="0"/>
        <w:adjustRightInd w:val="0"/>
        <w:spacing w:after="0" w:line="240" w:lineRule="auto"/>
        <w:jc w:val="both"/>
        <w:rPr>
          <w:i/>
          <w:sz w:val="18"/>
        </w:rPr>
      </w:pPr>
      <w:r w:rsidRPr="00BD3546">
        <w:rPr>
          <w:i/>
          <w:sz w:val="18"/>
        </w:rPr>
        <w:t xml:space="preserve">Tabuľka </w:t>
      </w:r>
      <w:r w:rsidR="00A24D61">
        <w:rPr>
          <w:i/>
          <w:sz w:val="18"/>
        </w:rPr>
        <w:t>8</w:t>
      </w:r>
      <w:r w:rsidRPr="00BD3546">
        <w:rPr>
          <w:i/>
          <w:sz w:val="18"/>
        </w:rPr>
        <w:t xml:space="preserve"> – Určenie výšky pracovného úväzku k počtu bytových jednotiek a určenie maximálnej celkovej ceny práce</w:t>
      </w:r>
    </w:p>
    <w:tbl>
      <w:tblPr>
        <w:tblStyle w:val="Mriekatabuky"/>
        <w:tblW w:w="9067" w:type="dxa"/>
        <w:tblLook w:val="04A0" w:firstRow="1" w:lastRow="0" w:firstColumn="1" w:lastColumn="0" w:noHBand="0" w:noVBand="1"/>
      </w:tblPr>
      <w:tblGrid>
        <w:gridCol w:w="2263"/>
        <w:gridCol w:w="2268"/>
        <w:gridCol w:w="2268"/>
        <w:gridCol w:w="2268"/>
        <w:tblGridChange w:id="106">
          <w:tblGrid>
            <w:gridCol w:w="2263"/>
            <w:gridCol w:w="2268"/>
            <w:gridCol w:w="2268"/>
            <w:gridCol w:w="2268"/>
          </w:tblGrid>
        </w:tblGridChange>
      </w:tblGrid>
      <w:tr w:rsidR="000B5FDB" w14:paraId="3A100598" w14:textId="23B81054" w:rsidTr="00A93EB1">
        <w:tc>
          <w:tcPr>
            <w:tcW w:w="2263" w:type="dxa"/>
            <w:vAlign w:val="center"/>
          </w:tcPr>
          <w:p w14:paraId="32DE984B" w14:textId="77777777" w:rsidR="000B5FDB" w:rsidRDefault="000B5FDB" w:rsidP="007B7A0E">
            <w:pPr>
              <w:jc w:val="center"/>
              <w:rPr>
                <w:rFonts w:cstheme="minorHAnsi"/>
              </w:rPr>
            </w:pPr>
          </w:p>
        </w:tc>
        <w:tc>
          <w:tcPr>
            <w:tcW w:w="2268" w:type="dxa"/>
            <w:vAlign w:val="center"/>
          </w:tcPr>
          <w:p w14:paraId="208548A5" w14:textId="77777777" w:rsidR="000B5FDB" w:rsidRPr="00DB0E7D" w:rsidRDefault="000B5FDB" w:rsidP="007B7A0E">
            <w:pPr>
              <w:jc w:val="center"/>
              <w:rPr>
                <w:rFonts w:cstheme="minorHAnsi"/>
                <w:b/>
              </w:rPr>
            </w:pPr>
            <w:r>
              <w:rPr>
                <w:rFonts w:cstheme="minorHAnsi"/>
                <w:b/>
              </w:rPr>
              <w:t xml:space="preserve">⅕ </w:t>
            </w:r>
            <w:r w:rsidRPr="00DB0E7D">
              <w:rPr>
                <w:rFonts w:cstheme="minorHAnsi"/>
                <w:b/>
              </w:rPr>
              <w:t>pracovný úväzok</w:t>
            </w:r>
          </w:p>
        </w:tc>
        <w:tc>
          <w:tcPr>
            <w:tcW w:w="2268" w:type="dxa"/>
            <w:vAlign w:val="center"/>
          </w:tcPr>
          <w:p w14:paraId="34409BC9" w14:textId="77777777" w:rsidR="000B5FDB" w:rsidRPr="00DB0E7D" w:rsidRDefault="000B5FDB" w:rsidP="007B7A0E">
            <w:pPr>
              <w:jc w:val="center"/>
              <w:rPr>
                <w:rFonts w:cstheme="minorHAnsi"/>
                <w:b/>
              </w:rPr>
            </w:pPr>
            <w:r>
              <w:rPr>
                <w:rFonts w:cstheme="minorHAnsi"/>
                <w:b/>
              </w:rPr>
              <w:t xml:space="preserve">½ </w:t>
            </w:r>
            <w:r w:rsidRPr="00DB0E7D">
              <w:rPr>
                <w:rFonts w:cstheme="minorHAnsi"/>
                <w:b/>
              </w:rPr>
              <w:t>pracovný úväzok</w:t>
            </w:r>
          </w:p>
        </w:tc>
        <w:tc>
          <w:tcPr>
            <w:tcW w:w="2268" w:type="dxa"/>
            <w:vAlign w:val="center"/>
          </w:tcPr>
          <w:p w14:paraId="2DA5508D" w14:textId="77777777" w:rsidR="000B5FDB" w:rsidRPr="00DB0E7D" w:rsidRDefault="000B5FDB" w:rsidP="007B7A0E">
            <w:pPr>
              <w:jc w:val="center"/>
              <w:rPr>
                <w:rFonts w:cstheme="minorHAnsi"/>
                <w:b/>
              </w:rPr>
            </w:pPr>
            <w:r w:rsidRPr="00DB0E7D">
              <w:rPr>
                <w:rFonts w:cstheme="minorHAnsi"/>
                <w:b/>
              </w:rPr>
              <w:t>Plný pracovný úväzok</w:t>
            </w:r>
          </w:p>
        </w:tc>
      </w:tr>
      <w:tr w:rsidR="000B5FDB" w14:paraId="560CDECC" w14:textId="18D3FA2A" w:rsidTr="00A93EB1">
        <w:tc>
          <w:tcPr>
            <w:tcW w:w="2263" w:type="dxa"/>
            <w:vAlign w:val="center"/>
          </w:tcPr>
          <w:p w14:paraId="13B35FEE" w14:textId="77777777" w:rsidR="000B5FDB" w:rsidRPr="00DB0E7D" w:rsidRDefault="000B5FDB" w:rsidP="007B7A0E">
            <w:pPr>
              <w:jc w:val="center"/>
              <w:rPr>
                <w:rFonts w:cstheme="minorHAnsi"/>
                <w:b/>
              </w:rPr>
            </w:pPr>
            <w:r w:rsidRPr="00DB0E7D">
              <w:rPr>
                <w:rFonts w:cstheme="minorHAnsi"/>
                <w:b/>
              </w:rPr>
              <w:t>Min. počet bytových jednotiek na jedného asistenta bývania</w:t>
            </w:r>
          </w:p>
        </w:tc>
        <w:tc>
          <w:tcPr>
            <w:tcW w:w="2268" w:type="dxa"/>
            <w:vAlign w:val="center"/>
          </w:tcPr>
          <w:p w14:paraId="6373DA6B" w14:textId="77777777" w:rsidR="000B5FDB" w:rsidRDefault="000B5FDB" w:rsidP="007B7A0E">
            <w:pPr>
              <w:jc w:val="center"/>
              <w:rPr>
                <w:rFonts w:cstheme="minorHAnsi"/>
              </w:rPr>
            </w:pPr>
            <w:r>
              <w:rPr>
                <w:rFonts w:cstheme="minorHAnsi"/>
              </w:rPr>
              <w:t>2 b. j. – 5 b. j.</w:t>
            </w:r>
          </w:p>
        </w:tc>
        <w:tc>
          <w:tcPr>
            <w:tcW w:w="2268" w:type="dxa"/>
            <w:vAlign w:val="center"/>
          </w:tcPr>
          <w:p w14:paraId="6E8F141C" w14:textId="77777777" w:rsidR="000B5FDB" w:rsidRDefault="000B5FDB" w:rsidP="007B7A0E">
            <w:pPr>
              <w:jc w:val="center"/>
              <w:rPr>
                <w:rFonts w:cstheme="minorHAnsi"/>
              </w:rPr>
            </w:pPr>
            <w:r>
              <w:rPr>
                <w:rFonts w:cstheme="minorHAnsi"/>
              </w:rPr>
              <w:t>6 b. j. – 11 b. j.</w:t>
            </w:r>
          </w:p>
        </w:tc>
        <w:tc>
          <w:tcPr>
            <w:tcW w:w="2268" w:type="dxa"/>
            <w:vAlign w:val="center"/>
          </w:tcPr>
          <w:p w14:paraId="02035CD4" w14:textId="77777777" w:rsidR="000B5FDB" w:rsidRDefault="000B5FDB" w:rsidP="007B7A0E">
            <w:pPr>
              <w:jc w:val="center"/>
              <w:rPr>
                <w:rFonts w:cstheme="minorHAnsi"/>
              </w:rPr>
            </w:pPr>
            <w:r>
              <w:rPr>
                <w:rFonts w:cstheme="minorHAnsi"/>
              </w:rPr>
              <w:t>12 b. j.</w:t>
            </w:r>
          </w:p>
        </w:tc>
      </w:tr>
      <w:tr w:rsidR="000B5FDB" w14:paraId="40E45703" w14:textId="49A46CDC" w:rsidTr="00A93EB1">
        <w:tc>
          <w:tcPr>
            <w:tcW w:w="2263" w:type="dxa"/>
            <w:vAlign w:val="center"/>
          </w:tcPr>
          <w:p w14:paraId="46CC1147" w14:textId="77777777" w:rsidR="000B5FDB" w:rsidRPr="00DB0E7D" w:rsidRDefault="000B5FDB" w:rsidP="007B7A0E">
            <w:pPr>
              <w:jc w:val="center"/>
              <w:rPr>
                <w:rFonts w:cstheme="minorHAnsi"/>
                <w:b/>
              </w:rPr>
            </w:pPr>
            <w:r w:rsidRPr="00DB0E7D">
              <w:rPr>
                <w:rFonts w:cstheme="minorHAnsi"/>
                <w:b/>
              </w:rPr>
              <w:t>Maximálny počet asistentov bývania</w:t>
            </w:r>
          </w:p>
        </w:tc>
        <w:tc>
          <w:tcPr>
            <w:tcW w:w="2268" w:type="dxa"/>
            <w:vAlign w:val="center"/>
          </w:tcPr>
          <w:p w14:paraId="1DBFA11E" w14:textId="77777777" w:rsidR="000B5FDB" w:rsidRDefault="000B5FDB" w:rsidP="007B7A0E">
            <w:pPr>
              <w:jc w:val="center"/>
              <w:rPr>
                <w:rFonts w:cstheme="minorHAnsi"/>
              </w:rPr>
            </w:pPr>
            <w:r>
              <w:rPr>
                <w:rFonts w:cstheme="minorHAnsi"/>
              </w:rPr>
              <w:t>1 asistent bývania</w:t>
            </w:r>
          </w:p>
        </w:tc>
        <w:tc>
          <w:tcPr>
            <w:tcW w:w="2268" w:type="dxa"/>
            <w:vAlign w:val="center"/>
          </w:tcPr>
          <w:p w14:paraId="5B94CAF2" w14:textId="77777777" w:rsidR="000B5FDB" w:rsidRDefault="000B5FDB" w:rsidP="007B7A0E">
            <w:pPr>
              <w:jc w:val="center"/>
              <w:rPr>
                <w:rFonts w:cstheme="minorHAnsi"/>
              </w:rPr>
            </w:pPr>
            <w:r>
              <w:rPr>
                <w:rFonts w:cstheme="minorHAnsi"/>
              </w:rPr>
              <w:t>1 asistent bývania</w:t>
            </w:r>
          </w:p>
        </w:tc>
        <w:tc>
          <w:tcPr>
            <w:tcW w:w="2268" w:type="dxa"/>
            <w:vAlign w:val="center"/>
          </w:tcPr>
          <w:p w14:paraId="763A97F4" w14:textId="77777777" w:rsidR="000B5FDB" w:rsidRDefault="000B5FDB" w:rsidP="007B7A0E">
            <w:pPr>
              <w:jc w:val="center"/>
              <w:rPr>
                <w:rFonts w:cstheme="minorHAnsi"/>
              </w:rPr>
            </w:pPr>
            <w:r>
              <w:rPr>
                <w:rFonts w:cstheme="minorHAnsi"/>
              </w:rPr>
              <w:t>3 asistenti bývania</w:t>
            </w:r>
          </w:p>
        </w:tc>
      </w:tr>
      <w:tr w:rsidR="000B5FDB" w14:paraId="3C6A9B81" w14:textId="1478632F" w:rsidTr="00A93EB1">
        <w:tc>
          <w:tcPr>
            <w:tcW w:w="2263" w:type="dxa"/>
            <w:tcBorders>
              <w:bottom w:val="double" w:sz="4" w:space="0" w:color="auto"/>
            </w:tcBorders>
            <w:vAlign w:val="center"/>
          </w:tcPr>
          <w:p w14:paraId="12EAF32C" w14:textId="2602ED82" w:rsidR="000B5FDB" w:rsidRPr="00DB0E7D" w:rsidRDefault="000B5FDB" w:rsidP="007B7A0E">
            <w:pPr>
              <w:jc w:val="center"/>
              <w:rPr>
                <w:rFonts w:cstheme="minorHAnsi"/>
                <w:b/>
              </w:rPr>
            </w:pPr>
            <w:r w:rsidRPr="00DB0E7D">
              <w:rPr>
                <w:rFonts w:cstheme="minorHAnsi"/>
                <w:b/>
              </w:rPr>
              <w:t>Celková cena práce</w:t>
            </w:r>
            <w:ins w:id="107" w:author="Hajdin Miloš" w:date="2025-04-07T11:24:00Z" w16du:dateUtc="2025-04-07T09:24:00Z">
              <w:r w:rsidR="00656164">
                <w:rPr>
                  <w:rFonts w:cstheme="minorHAnsi"/>
                  <w:b/>
                </w:rPr>
                <w:t xml:space="preserve"> pre rok 2025</w:t>
              </w:r>
            </w:ins>
          </w:p>
        </w:tc>
        <w:tc>
          <w:tcPr>
            <w:tcW w:w="2268" w:type="dxa"/>
            <w:tcBorders>
              <w:bottom w:val="double" w:sz="4" w:space="0" w:color="auto"/>
            </w:tcBorders>
            <w:vAlign w:val="center"/>
          </w:tcPr>
          <w:p w14:paraId="5A7F93BC" w14:textId="17BC0FBF" w:rsidR="000B5FDB" w:rsidRDefault="000B5FDB">
            <w:pPr>
              <w:jc w:val="center"/>
              <w:rPr>
                <w:rFonts w:cstheme="minorHAnsi"/>
              </w:rPr>
            </w:pPr>
            <w:r>
              <w:rPr>
                <w:rFonts w:cstheme="minorHAnsi"/>
              </w:rPr>
              <w:t>2</w:t>
            </w:r>
            <w:r w:rsidR="00FA2678">
              <w:rPr>
                <w:rFonts w:cstheme="minorHAnsi"/>
              </w:rPr>
              <w:t>59</w:t>
            </w:r>
            <w:r>
              <w:rPr>
                <w:rFonts w:cstheme="minorHAnsi"/>
              </w:rPr>
              <w:t>,</w:t>
            </w:r>
            <w:r w:rsidR="00FA2678">
              <w:rPr>
                <w:rFonts w:cstheme="minorHAnsi"/>
              </w:rPr>
              <w:t>8</w:t>
            </w:r>
            <w:r>
              <w:rPr>
                <w:rFonts w:cstheme="minorHAnsi"/>
              </w:rPr>
              <w:t>0 eur/mesiac</w:t>
            </w:r>
          </w:p>
        </w:tc>
        <w:tc>
          <w:tcPr>
            <w:tcW w:w="2268" w:type="dxa"/>
            <w:tcBorders>
              <w:bottom w:val="double" w:sz="4" w:space="0" w:color="auto"/>
            </w:tcBorders>
            <w:vAlign w:val="center"/>
          </w:tcPr>
          <w:p w14:paraId="6B536857" w14:textId="1DDB57DA" w:rsidR="000B5FDB" w:rsidRDefault="000B5FDB">
            <w:pPr>
              <w:jc w:val="center"/>
              <w:rPr>
                <w:rFonts w:cstheme="minorHAnsi"/>
              </w:rPr>
            </w:pPr>
            <w:r>
              <w:rPr>
                <w:rFonts w:cstheme="minorHAnsi"/>
              </w:rPr>
              <w:t>6</w:t>
            </w:r>
            <w:r w:rsidR="00FA2678">
              <w:rPr>
                <w:rFonts w:cstheme="minorHAnsi"/>
              </w:rPr>
              <w:t>49</w:t>
            </w:r>
            <w:r>
              <w:rPr>
                <w:rFonts w:cstheme="minorHAnsi"/>
              </w:rPr>
              <w:t>,50 eur/mesiac</w:t>
            </w:r>
          </w:p>
        </w:tc>
        <w:tc>
          <w:tcPr>
            <w:tcW w:w="2268" w:type="dxa"/>
            <w:vAlign w:val="center"/>
          </w:tcPr>
          <w:p w14:paraId="79D6B1A9" w14:textId="6B4E19E2" w:rsidR="000B5FDB" w:rsidRDefault="000B5FDB">
            <w:pPr>
              <w:jc w:val="center"/>
              <w:rPr>
                <w:rFonts w:cstheme="minorHAnsi"/>
              </w:rPr>
            </w:pPr>
            <w:r>
              <w:rPr>
                <w:rFonts w:cstheme="minorHAnsi"/>
              </w:rPr>
              <w:t>12</w:t>
            </w:r>
            <w:r w:rsidR="00FA2678">
              <w:rPr>
                <w:rFonts w:cstheme="minorHAnsi"/>
              </w:rPr>
              <w:t>99</w:t>
            </w:r>
            <w:r>
              <w:rPr>
                <w:rFonts w:cstheme="minorHAnsi"/>
              </w:rPr>
              <w:t>,00 eur/mesiac</w:t>
            </w:r>
          </w:p>
        </w:tc>
      </w:tr>
      <w:tr w:rsidR="00656164" w14:paraId="665889FC" w14:textId="77777777" w:rsidTr="00A93EB1">
        <w:trPr>
          <w:ins w:id="108" w:author="Hajdin Miloš" w:date="2025-04-07T11:24:00Z"/>
        </w:trPr>
        <w:tc>
          <w:tcPr>
            <w:tcW w:w="2263" w:type="dxa"/>
            <w:tcBorders>
              <w:bottom w:val="double" w:sz="4" w:space="0" w:color="auto"/>
            </w:tcBorders>
            <w:vAlign w:val="center"/>
          </w:tcPr>
          <w:p w14:paraId="140EA857" w14:textId="1776D480" w:rsidR="00656164" w:rsidRPr="00DB0E7D" w:rsidRDefault="00656164" w:rsidP="00656164">
            <w:pPr>
              <w:jc w:val="center"/>
              <w:rPr>
                <w:ins w:id="109" w:author="Hajdin Miloš" w:date="2025-04-07T11:24:00Z" w16du:dateUtc="2025-04-07T09:24:00Z"/>
                <w:rFonts w:cstheme="minorHAnsi"/>
                <w:b/>
              </w:rPr>
            </w:pPr>
            <w:ins w:id="110" w:author="Hajdin Miloš" w:date="2025-04-07T11:25:00Z" w16du:dateUtc="2025-04-07T09:25:00Z">
              <w:r w:rsidRPr="00DB0E7D">
                <w:rPr>
                  <w:rFonts w:cstheme="minorHAnsi"/>
                  <w:b/>
                </w:rPr>
                <w:t>Celková cena práce</w:t>
              </w:r>
              <w:r>
                <w:rPr>
                  <w:rFonts w:cstheme="minorHAnsi"/>
                  <w:b/>
                </w:rPr>
                <w:t xml:space="preserve"> pre rok 2026</w:t>
              </w:r>
            </w:ins>
          </w:p>
        </w:tc>
        <w:tc>
          <w:tcPr>
            <w:tcW w:w="2268" w:type="dxa"/>
            <w:tcBorders>
              <w:bottom w:val="double" w:sz="4" w:space="0" w:color="auto"/>
            </w:tcBorders>
            <w:vAlign w:val="center"/>
          </w:tcPr>
          <w:p w14:paraId="115CC9E1" w14:textId="44C2FD6E" w:rsidR="00656164" w:rsidRDefault="00656164" w:rsidP="00656164">
            <w:pPr>
              <w:jc w:val="center"/>
              <w:rPr>
                <w:ins w:id="111" w:author="Hajdin Miloš" w:date="2025-04-07T11:24:00Z" w16du:dateUtc="2025-04-07T09:24:00Z"/>
                <w:rFonts w:cstheme="minorHAnsi"/>
              </w:rPr>
            </w:pPr>
            <w:ins w:id="112" w:author="Hajdin Miloš" w:date="2025-04-07T11:25:00Z" w16du:dateUtc="2025-04-07T09:25:00Z">
              <w:r>
                <w:rPr>
                  <w:rFonts w:cstheme="minorHAnsi"/>
                </w:rPr>
                <w:t>277,80 eur/mesiac</w:t>
              </w:r>
            </w:ins>
          </w:p>
        </w:tc>
        <w:tc>
          <w:tcPr>
            <w:tcW w:w="2268" w:type="dxa"/>
            <w:tcBorders>
              <w:bottom w:val="double" w:sz="4" w:space="0" w:color="auto"/>
            </w:tcBorders>
            <w:vAlign w:val="center"/>
          </w:tcPr>
          <w:p w14:paraId="2FB98006" w14:textId="07813104" w:rsidR="00656164" w:rsidRDefault="00656164" w:rsidP="00656164">
            <w:pPr>
              <w:jc w:val="center"/>
              <w:rPr>
                <w:ins w:id="113" w:author="Hajdin Miloš" w:date="2025-04-07T11:24:00Z" w16du:dateUtc="2025-04-07T09:24:00Z"/>
                <w:rFonts w:cstheme="minorHAnsi"/>
              </w:rPr>
            </w:pPr>
            <w:ins w:id="114" w:author="Hajdin Miloš" w:date="2025-04-07T11:25:00Z" w16du:dateUtc="2025-04-07T09:25:00Z">
              <w:r>
                <w:rPr>
                  <w:rFonts w:cstheme="minorHAnsi"/>
                </w:rPr>
                <w:t>694,50 eur/mesiac</w:t>
              </w:r>
            </w:ins>
          </w:p>
        </w:tc>
        <w:tc>
          <w:tcPr>
            <w:tcW w:w="2268" w:type="dxa"/>
            <w:vAlign w:val="center"/>
          </w:tcPr>
          <w:p w14:paraId="7A71445C" w14:textId="024227F2" w:rsidR="00656164" w:rsidRDefault="00656164" w:rsidP="00656164">
            <w:pPr>
              <w:jc w:val="center"/>
              <w:rPr>
                <w:ins w:id="115" w:author="Hajdin Miloš" w:date="2025-04-07T11:24:00Z" w16du:dateUtc="2025-04-07T09:24:00Z"/>
                <w:rFonts w:cstheme="minorHAnsi"/>
              </w:rPr>
            </w:pPr>
            <w:ins w:id="116" w:author="Hajdin Miloš" w:date="2025-04-07T11:25:00Z" w16du:dateUtc="2025-04-07T09:25:00Z">
              <w:r>
                <w:rPr>
                  <w:rFonts w:cstheme="minorHAnsi"/>
                </w:rPr>
                <w:t>1389,00 eur/mesiac</w:t>
              </w:r>
            </w:ins>
          </w:p>
        </w:tc>
      </w:tr>
      <w:tr w:rsidR="00656164" w14:paraId="35DF31E5" w14:textId="77777777" w:rsidTr="00A93EB1">
        <w:trPr>
          <w:ins w:id="117" w:author="Hajdin Miloš" w:date="2025-04-07T11:24:00Z"/>
        </w:trPr>
        <w:tc>
          <w:tcPr>
            <w:tcW w:w="2263" w:type="dxa"/>
            <w:tcBorders>
              <w:bottom w:val="double" w:sz="4" w:space="0" w:color="auto"/>
            </w:tcBorders>
            <w:vAlign w:val="center"/>
          </w:tcPr>
          <w:p w14:paraId="01D30788" w14:textId="3F0318F3" w:rsidR="00656164" w:rsidRPr="00DB0E7D" w:rsidRDefault="00656164" w:rsidP="00656164">
            <w:pPr>
              <w:jc w:val="center"/>
              <w:rPr>
                <w:ins w:id="118" w:author="Hajdin Miloš" w:date="2025-04-07T11:24:00Z" w16du:dateUtc="2025-04-07T09:24:00Z"/>
                <w:rFonts w:cstheme="minorHAnsi"/>
                <w:b/>
              </w:rPr>
            </w:pPr>
            <w:ins w:id="119" w:author="Hajdin Miloš" w:date="2025-04-07T11:25:00Z" w16du:dateUtc="2025-04-07T09:25:00Z">
              <w:r w:rsidRPr="00DB0E7D">
                <w:rPr>
                  <w:rFonts w:cstheme="minorHAnsi"/>
                  <w:b/>
                </w:rPr>
                <w:t>Celková cena práce</w:t>
              </w:r>
              <w:r>
                <w:rPr>
                  <w:rFonts w:cstheme="minorHAnsi"/>
                  <w:b/>
                </w:rPr>
                <w:t xml:space="preserve"> pre rok 2027</w:t>
              </w:r>
            </w:ins>
          </w:p>
        </w:tc>
        <w:tc>
          <w:tcPr>
            <w:tcW w:w="2268" w:type="dxa"/>
            <w:tcBorders>
              <w:bottom w:val="double" w:sz="4" w:space="0" w:color="auto"/>
            </w:tcBorders>
            <w:vAlign w:val="center"/>
          </w:tcPr>
          <w:p w14:paraId="17D49F5C" w14:textId="74E0F84B" w:rsidR="00656164" w:rsidRDefault="00656164" w:rsidP="00656164">
            <w:pPr>
              <w:jc w:val="center"/>
              <w:rPr>
                <w:ins w:id="120" w:author="Hajdin Miloš" w:date="2025-04-07T11:24:00Z" w16du:dateUtc="2025-04-07T09:24:00Z"/>
                <w:rFonts w:cstheme="minorHAnsi"/>
              </w:rPr>
            </w:pPr>
            <w:ins w:id="121" w:author="Hajdin Miloš" w:date="2025-04-07T11:25:00Z" w16du:dateUtc="2025-04-07T09:25:00Z">
              <w:r>
                <w:rPr>
                  <w:rFonts w:cstheme="minorHAnsi"/>
                </w:rPr>
                <w:t>297,40 eur/mesiac</w:t>
              </w:r>
            </w:ins>
          </w:p>
        </w:tc>
        <w:tc>
          <w:tcPr>
            <w:tcW w:w="2268" w:type="dxa"/>
            <w:tcBorders>
              <w:bottom w:val="double" w:sz="4" w:space="0" w:color="auto"/>
            </w:tcBorders>
            <w:vAlign w:val="center"/>
          </w:tcPr>
          <w:p w14:paraId="52F253AE" w14:textId="75A25A2A" w:rsidR="00656164" w:rsidRDefault="00656164" w:rsidP="00656164">
            <w:pPr>
              <w:jc w:val="center"/>
              <w:rPr>
                <w:ins w:id="122" w:author="Hajdin Miloš" w:date="2025-04-07T11:24:00Z" w16du:dateUtc="2025-04-07T09:24:00Z"/>
                <w:rFonts w:cstheme="minorHAnsi"/>
              </w:rPr>
            </w:pPr>
            <w:ins w:id="123" w:author="Hajdin Miloš" w:date="2025-04-07T11:25:00Z" w16du:dateUtc="2025-04-07T09:25:00Z">
              <w:r>
                <w:rPr>
                  <w:rFonts w:cstheme="minorHAnsi"/>
                </w:rPr>
                <w:t>743,50 eur/mesiac</w:t>
              </w:r>
            </w:ins>
          </w:p>
        </w:tc>
        <w:tc>
          <w:tcPr>
            <w:tcW w:w="2268" w:type="dxa"/>
            <w:vAlign w:val="center"/>
          </w:tcPr>
          <w:p w14:paraId="35812117" w14:textId="706A0673" w:rsidR="00656164" w:rsidRDefault="00656164" w:rsidP="00656164">
            <w:pPr>
              <w:jc w:val="center"/>
              <w:rPr>
                <w:ins w:id="124" w:author="Hajdin Miloš" w:date="2025-04-07T11:24:00Z" w16du:dateUtc="2025-04-07T09:24:00Z"/>
                <w:rFonts w:cstheme="minorHAnsi"/>
              </w:rPr>
            </w:pPr>
            <w:ins w:id="125" w:author="Hajdin Miloš" w:date="2025-04-07T11:25:00Z" w16du:dateUtc="2025-04-07T09:25:00Z">
              <w:r>
                <w:rPr>
                  <w:rFonts w:cstheme="minorHAnsi"/>
                </w:rPr>
                <w:t>1487,00 eur/mesiac</w:t>
              </w:r>
            </w:ins>
          </w:p>
        </w:tc>
      </w:tr>
      <w:tr w:rsidR="00656164" w14:paraId="58169A46" w14:textId="77777777" w:rsidTr="00A93EB1">
        <w:trPr>
          <w:ins w:id="126" w:author="Hajdin Miloš" w:date="2025-04-07T11:24:00Z"/>
        </w:trPr>
        <w:tc>
          <w:tcPr>
            <w:tcW w:w="2263" w:type="dxa"/>
            <w:tcBorders>
              <w:bottom w:val="double" w:sz="4" w:space="0" w:color="auto"/>
            </w:tcBorders>
            <w:vAlign w:val="center"/>
          </w:tcPr>
          <w:p w14:paraId="72911B98" w14:textId="2E865A19" w:rsidR="00656164" w:rsidRPr="00DB0E7D" w:rsidRDefault="00656164" w:rsidP="00656164">
            <w:pPr>
              <w:jc w:val="center"/>
              <w:rPr>
                <w:ins w:id="127" w:author="Hajdin Miloš" w:date="2025-04-07T11:24:00Z" w16du:dateUtc="2025-04-07T09:24:00Z"/>
                <w:rFonts w:cstheme="minorHAnsi"/>
                <w:b/>
              </w:rPr>
            </w:pPr>
            <w:ins w:id="128" w:author="Hajdin Miloš" w:date="2025-04-07T11:25:00Z" w16du:dateUtc="2025-04-07T09:25:00Z">
              <w:r w:rsidRPr="00DB0E7D">
                <w:rPr>
                  <w:rFonts w:cstheme="minorHAnsi"/>
                  <w:b/>
                </w:rPr>
                <w:t>Celková cena práce</w:t>
              </w:r>
              <w:r>
                <w:rPr>
                  <w:rFonts w:cstheme="minorHAnsi"/>
                  <w:b/>
                </w:rPr>
                <w:t xml:space="preserve"> pre rok 2028</w:t>
              </w:r>
            </w:ins>
          </w:p>
        </w:tc>
        <w:tc>
          <w:tcPr>
            <w:tcW w:w="2268" w:type="dxa"/>
            <w:tcBorders>
              <w:bottom w:val="double" w:sz="4" w:space="0" w:color="auto"/>
            </w:tcBorders>
            <w:vAlign w:val="center"/>
          </w:tcPr>
          <w:p w14:paraId="43DC8530" w14:textId="733B2F58" w:rsidR="00656164" w:rsidRDefault="00656164" w:rsidP="00656164">
            <w:pPr>
              <w:jc w:val="center"/>
              <w:rPr>
                <w:ins w:id="129" w:author="Hajdin Miloš" w:date="2025-04-07T11:24:00Z" w16du:dateUtc="2025-04-07T09:24:00Z"/>
                <w:rFonts w:cstheme="minorHAnsi"/>
              </w:rPr>
            </w:pPr>
            <w:ins w:id="130" w:author="Hajdin Miloš" w:date="2025-04-07T11:25:00Z" w16du:dateUtc="2025-04-07T09:25:00Z">
              <w:r>
                <w:rPr>
                  <w:rFonts w:cstheme="minorHAnsi"/>
                </w:rPr>
                <w:t>318,20 eur/mesiac</w:t>
              </w:r>
            </w:ins>
          </w:p>
        </w:tc>
        <w:tc>
          <w:tcPr>
            <w:tcW w:w="2268" w:type="dxa"/>
            <w:tcBorders>
              <w:bottom w:val="double" w:sz="4" w:space="0" w:color="auto"/>
            </w:tcBorders>
            <w:vAlign w:val="center"/>
          </w:tcPr>
          <w:p w14:paraId="7DEE6843" w14:textId="40944100" w:rsidR="00656164" w:rsidRDefault="00656164" w:rsidP="00656164">
            <w:pPr>
              <w:jc w:val="center"/>
              <w:rPr>
                <w:ins w:id="131" w:author="Hajdin Miloš" w:date="2025-04-07T11:24:00Z" w16du:dateUtc="2025-04-07T09:24:00Z"/>
                <w:rFonts w:cstheme="minorHAnsi"/>
              </w:rPr>
            </w:pPr>
            <w:ins w:id="132" w:author="Hajdin Miloš" w:date="2025-04-07T11:25:00Z" w16du:dateUtc="2025-04-07T09:25:00Z">
              <w:r>
                <w:rPr>
                  <w:rFonts w:cstheme="minorHAnsi"/>
                </w:rPr>
                <w:t>795,50 eur/mesiac</w:t>
              </w:r>
            </w:ins>
          </w:p>
        </w:tc>
        <w:tc>
          <w:tcPr>
            <w:tcW w:w="2268" w:type="dxa"/>
            <w:vAlign w:val="center"/>
          </w:tcPr>
          <w:p w14:paraId="3E22CCC6" w14:textId="128E648F" w:rsidR="00656164" w:rsidRDefault="00656164" w:rsidP="00656164">
            <w:pPr>
              <w:jc w:val="center"/>
              <w:rPr>
                <w:ins w:id="133" w:author="Hajdin Miloš" w:date="2025-04-07T11:24:00Z" w16du:dateUtc="2025-04-07T09:24:00Z"/>
                <w:rFonts w:cstheme="minorHAnsi"/>
              </w:rPr>
            </w:pPr>
            <w:ins w:id="134" w:author="Hajdin Miloš" w:date="2025-04-07T11:25:00Z" w16du:dateUtc="2025-04-07T09:25:00Z">
              <w:r>
                <w:rPr>
                  <w:rFonts w:cstheme="minorHAnsi"/>
                </w:rPr>
                <w:t>1591,00 eur/mesiac</w:t>
              </w:r>
            </w:ins>
          </w:p>
        </w:tc>
      </w:tr>
      <w:tr w:rsidR="00656164" w14:paraId="1C8E9171" w14:textId="77777777" w:rsidTr="00A93EB1">
        <w:trPr>
          <w:ins w:id="135" w:author="Hajdin Miloš" w:date="2025-04-07T11:24:00Z"/>
        </w:trPr>
        <w:tc>
          <w:tcPr>
            <w:tcW w:w="2263" w:type="dxa"/>
            <w:tcBorders>
              <w:bottom w:val="double" w:sz="4" w:space="0" w:color="auto"/>
            </w:tcBorders>
            <w:vAlign w:val="center"/>
          </w:tcPr>
          <w:p w14:paraId="16689B64" w14:textId="7BB48754" w:rsidR="00656164" w:rsidRPr="00DB0E7D" w:rsidRDefault="00656164" w:rsidP="00656164">
            <w:pPr>
              <w:jc w:val="center"/>
              <w:rPr>
                <w:ins w:id="136" w:author="Hajdin Miloš" w:date="2025-04-07T11:24:00Z" w16du:dateUtc="2025-04-07T09:24:00Z"/>
                <w:rFonts w:cstheme="minorHAnsi"/>
                <w:b/>
              </w:rPr>
            </w:pPr>
            <w:ins w:id="137" w:author="Hajdin Miloš" w:date="2025-04-07T11:25:00Z" w16du:dateUtc="2025-04-07T09:25:00Z">
              <w:r w:rsidRPr="00DB0E7D">
                <w:rPr>
                  <w:rFonts w:cstheme="minorHAnsi"/>
                  <w:b/>
                </w:rPr>
                <w:t>Celková cena práce</w:t>
              </w:r>
              <w:r>
                <w:rPr>
                  <w:rFonts w:cstheme="minorHAnsi"/>
                  <w:b/>
                </w:rPr>
                <w:t xml:space="preserve"> pre rok 2029</w:t>
              </w:r>
            </w:ins>
          </w:p>
        </w:tc>
        <w:tc>
          <w:tcPr>
            <w:tcW w:w="2268" w:type="dxa"/>
            <w:tcBorders>
              <w:bottom w:val="double" w:sz="4" w:space="0" w:color="auto"/>
            </w:tcBorders>
            <w:vAlign w:val="center"/>
          </w:tcPr>
          <w:p w14:paraId="461E14E8" w14:textId="57B8A95C" w:rsidR="00656164" w:rsidRDefault="00656164" w:rsidP="00656164">
            <w:pPr>
              <w:jc w:val="center"/>
              <w:rPr>
                <w:ins w:id="138" w:author="Hajdin Miloš" w:date="2025-04-07T11:24:00Z" w16du:dateUtc="2025-04-07T09:24:00Z"/>
                <w:rFonts w:cstheme="minorHAnsi"/>
              </w:rPr>
            </w:pPr>
            <w:ins w:id="139" w:author="Hajdin Miloš" w:date="2025-04-07T11:25:00Z" w16du:dateUtc="2025-04-07T09:25:00Z">
              <w:r>
                <w:rPr>
                  <w:rFonts w:cstheme="minorHAnsi"/>
                </w:rPr>
                <w:t>340,40 eur/mesiac</w:t>
              </w:r>
            </w:ins>
          </w:p>
        </w:tc>
        <w:tc>
          <w:tcPr>
            <w:tcW w:w="2268" w:type="dxa"/>
            <w:tcBorders>
              <w:bottom w:val="double" w:sz="4" w:space="0" w:color="auto"/>
            </w:tcBorders>
            <w:vAlign w:val="center"/>
          </w:tcPr>
          <w:p w14:paraId="0B14F05C" w14:textId="62461466" w:rsidR="00656164" w:rsidRDefault="00656164" w:rsidP="00656164">
            <w:pPr>
              <w:jc w:val="center"/>
              <w:rPr>
                <w:ins w:id="140" w:author="Hajdin Miloš" w:date="2025-04-07T11:24:00Z" w16du:dateUtc="2025-04-07T09:24:00Z"/>
                <w:rFonts w:cstheme="minorHAnsi"/>
              </w:rPr>
            </w:pPr>
            <w:ins w:id="141" w:author="Hajdin Miloš" w:date="2025-04-07T11:25:00Z" w16du:dateUtc="2025-04-07T09:25:00Z">
              <w:r>
                <w:rPr>
                  <w:rFonts w:cstheme="minorHAnsi"/>
                </w:rPr>
                <w:t>851,00 eur/mesiac</w:t>
              </w:r>
            </w:ins>
          </w:p>
        </w:tc>
        <w:tc>
          <w:tcPr>
            <w:tcW w:w="2268" w:type="dxa"/>
            <w:vAlign w:val="center"/>
          </w:tcPr>
          <w:p w14:paraId="3D55B85D" w14:textId="35896F10" w:rsidR="00656164" w:rsidRDefault="00656164" w:rsidP="00656164">
            <w:pPr>
              <w:jc w:val="center"/>
              <w:rPr>
                <w:ins w:id="142" w:author="Hajdin Miloš" w:date="2025-04-07T11:24:00Z" w16du:dateUtc="2025-04-07T09:24:00Z"/>
                <w:rFonts w:cstheme="minorHAnsi"/>
              </w:rPr>
            </w:pPr>
            <w:ins w:id="143" w:author="Hajdin Miloš" w:date="2025-04-07T11:25:00Z" w16du:dateUtc="2025-04-07T09:25:00Z">
              <w:r>
                <w:rPr>
                  <w:rFonts w:cstheme="minorHAnsi"/>
                </w:rPr>
                <w:t>1702,00 eur/mesiac</w:t>
              </w:r>
            </w:ins>
          </w:p>
        </w:tc>
      </w:tr>
      <w:tr w:rsidR="00656164" w14:paraId="0F9CAF8D" w14:textId="77777777" w:rsidTr="00656164">
        <w:tblPrEx>
          <w:tblW w:w="9067" w:type="dxa"/>
          <w:tblPrExChange w:id="144" w:author="Hajdin Miloš" w:date="2025-04-07T11:25:00Z" w16du:dateUtc="2025-04-07T09:25:00Z">
            <w:tblPrEx>
              <w:tblW w:w="9067" w:type="dxa"/>
            </w:tblPrEx>
          </w:tblPrExChange>
        </w:tblPrEx>
        <w:trPr>
          <w:trHeight w:val="924"/>
          <w:trPrChange w:id="145" w:author="Hajdin Miloš" w:date="2025-04-07T11:25:00Z" w16du:dateUtc="2025-04-07T09:25:00Z">
            <w:trPr>
              <w:trHeight w:val="924"/>
            </w:trPr>
          </w:trPrChange>
        </w:trPr>
        <w:tc>
          <w:tcPr>
            <w:tcW w:w="2263" w:type="dxa"/>
            <w:tcBorders>
              <w:top w:val="double" w:sz="4" w:space="0" w:color="auto"/>
              <w:bottom w:val="double" w:sz="4" w:space="0" w:color="auto"/>
            </w:tcBorders>
            <w:vAlign w:val="center"/>
            <w:tcPrChange w:id="146" w:author="Hajdin Miloš" w:date="2025-04-07T11:25:00Z" w16du:dateUtc="2025-04-07T09:25:00Z">
              <w:tcPr>
                <w:tcW w:w="2263" w:type="dxa"/>
                <w:tcBorders>
                  <w:top w:val="double" w:sz="4" w:space="0" w:color="auto"/>
                </w:tcBorders>
                <w:vAlign w:val="center"/>
              </w:tcPr>
            </w:tcPrChange>
          </w:tcPr>
          <w:p w14:paraId="61C16751" w14:textId="6CCD9D80" w:rsidR="00656164" w:rsidRPr="00DB0E7D" w:rsidRDefault="00656164" w:rsidP="00656164">
            <w:pPr>
              <w:jc w:val="center"/>
              <w:rPr>
                <w:rFonts w:cstheme="minorHAnsi"/>
                <w:b/>
              </w:rPr>
            </w:pPr>
            <w:r>
              <w:rPr>
                <w:rFonts w:cstheme="minorHAnsi"/>
                <w:b/>
              </w:rPr>
              <w:t>Finančný limit na asistenta bývania – mimopracovný pomer</w:t>
            </w:r>
            <w:ins w:id="147" w:author="Hajdin Miloš" w:date="2025-04-07T11:25:00Z" w16du:dateUtc="2025-04-07T09:25:00Z">
              <w:r>
                <w:rPr>
                  <w:rFonts w:cstheme="minorHAnsi"/>
                  <w:b/>
                </w:rPr>
                <w:t xml:space="preserve"> – rok 2025</w:t>
              </w:r>
            </w:ins>
          </w:p>
        </w:tc>
        <w:tc>
          <w:tcPr>
            <w:tcW w:w="6804" w:type="dxa"/>
            <w:gridSpan w:val="3"/>
            <w:tcBorders>
              <w:top w:val="double" w:sz="4" w:space="0" w:color="auto"/>
              <w:bottom w:val="double" w:sz="4" w:space="0" w:color="auto"/>
            </w:tcBorders>
            <w:vAlign w:val="center"/>
            <w:tcPrChange w:id="148" w:author="Hajdin Miloš" w:date="2025-04-07T11:25:00Z" w16du:dateUtc="2025-04-07T09:25:00Z">
              <w:tcPr>
                <w:tcW w:w="6804" w:type="dxa"/>
                <w:gridSpan w:val="3"/>
                <w:tcBorders>
                  <w:top w:val="double" w:sz="4" w:space="0" w:color="auto"/>
                </w:tcBorders>
                <w:vAlign w:val="center"/>
              </w:tcPr>
            </w:tcPrChange>
          </w:tcPr>
          <w:p w14:paraId="44A1D607" w14:textId="56C90702" w:rsidR="00656164" w:rsidRDefault="00656164" w:rsidP="00656164">
            <w:pPr>
              <w:jc w:val="center"/>
              <w:rPr>
                <w:rFonts w:cstheme="minorHAnsi"/>
              </w:rPr>
            </w:pPr>
            <w:r>
              <w:rPr>
                <w:rFonts w:cstheme="minorHAnsi"/>
              </w:rPr>
              <w:t>8,12 eur/hod</w:t>
            </w:r>
          </w:p>
        </w:tc>
      </w:tr>
      <w:tr w:rsidR="00656164" w14:paraId="32A45397" w14:textId="77777777" w:rsidTr="00A93EB1">
        <w:trPr>
          <w:trHeight w:val="924"/>
          <w:ins w:id="149" w:author="Hajdin Miloš" w:date="2025-04-07T11:25:00Z"/>
        </w:trPr>
        <w:tc>
          <w:tcPr>
            <w:tcW w:w="2263" w:type="dxa"/>
            <w:tcBorders>
              <w:top w:val="double" w:sz="4" w:space="0" w:color="auto"/>
            </w:tcBorders>
            <w:vAlign w:val="center"/>
          </w:tcPr>
          <w:p w14:paraId="7EFD9843" w14:textId="55280B1C" w:rsidR="00656164" w:rsidRDefault="00656164" w:rsidP="00656164">
            <w:pPr>
              <w:jc w:val="center"/>
              <w:rPr>
                <w:ins w:id="150" w:author="Hajdin Miloš" w:date="2025-04-07T11:25:00Z" w16du:dateUtc="2025-04-07T09:25:00Z"/>
                <w:rFonts w:cstheme="minorHAnsi"/>
                <w:b/>
              </w:rPr>
            </w:pPr>
            <w:ins w:id="151" w:author="Hajdin Miloš" w:date="2025-04-07T11:25:00Z" w16du:dateUtc="2025-04-07T09:25:00Z">
              <w:r>
                <w:rPr>
                  <w:rFonts w:cstheme="minorHAnsi"/>
                  <w:b/>
                </w:rPr>
                <w:t>Finančný limit na asistenta bývania – mimopracovný pomer – rok 2026</w:t>
              </w:r>
            </w:ins>
          </w:p>
        </w:tc>
        <w:tc>
          <w:tcPr>
            <w:tcW w:w="6804" w:type="dxa"/>
            <w:gridSpan w:val="3"/>
            <w:tcBorders>
              <w:top w:val="double" w:sz="4" w:space="0" w:color="auto"/>
            </w:tcBorders>
            <w:vAlign w:val="center"/>
          </w:tcPr>
          <w:p w14:paraId="61C73760" w14:textId="7C3F090F" w:rsidR="00656164" w:rsidRDefault="00656164" w:rsidP="00656164">
            <w:pPr>
              <w:jc w:val="center"/>
              <w:rPr>
                <w:ins w:id="152" w:author="Hajdin Miloš" w:date="2025-04-07T11:25:00Z" w16du:dateUtc="2025-04-07T09:25:00Z"/>
                <w:rFonts w:cstheme="minorHAnsi"/>
              </w:rPr>
            </w:pPr>
            <w:ins w:id="153" w:author="Hajdin Miloš" w:date="2025-04-07T11:25:00Z" w16du:dateUtc="2025-04-07T09:25:00Z">
              <w:r>
                <w:rPr>
                  <w:rFonts w:cstheme="minorHAnsi"/>
                </w:rPr>
                <w:t>8,68 eur/hod</w:t>
              </w:r>
            </w:ins>
          </w:p>
        </w:tc>
      </w:tr>
      <w:tr w:rsidR="00656164" w14:paraId="6DA1A518" w14:textId="77777777" w:rsidTr="00A93EB1">
        <w:trPr>
          <w:trHeight w:val="924"/>
          <w:ins w:id="154" w:author="Hajdin Miloš" w:date="2025-04-07T11:25:00Z"/>
        </w:trPr>
        <w:tc>
          <w:tcPr>
            <w:tcW w:w="2263" w:type="dxa"/>
            <w:tcBorders>
              <w:top w:val="double" w:sz="4" w:space="0" w:color="auto"/>
            </w:tcBorders>
            <w:vAlign w:val="center"/>
          </w:tcPr>
          <w:p w14:paraId="54726358" w14:textId="194B8720" w:rsidR="00656164" w:rsidRDefault="00656164" w:rsidP="00656164">
            <w:pPr>
              <w:jc w:val="center"/>
              <w:rPr>
                <w:ins w:id="155" w:author="Hajdin Miloš" w:date="2025-04-07T11:25:00Z" w16du:dateUtc="2025-04-07T09:25:00Z"/>
                <w:rFonts w:cstheme="minorHAnsi"/>
                <w:b/>
              </w:rPr>
            </w:pPr>
            <w:ins w:id="156" w:author="Hajdin Miloš" w:date="2025-04-07T11:25:00Z" w16du:dateUtc="2025-04-07T09:25:00Z">
              <w:r>
                <w:rPr>
                  <w:rFonts w:cstheme="minorHAnsi"/>
                  <w:b/>
                </w:rPr>
                <w:t>Finančný limit na asistenta bývania – mimopracovný pomer – rok 2027</w:t>
              </w:r>
            </w:ins>
          </w:p>
        </w:tc>
        <w:tc>
          <w:tcPr>
            <w:tcW w:w="6804" w:type="dxa"/>
            <w:gridSpan w:val="3"/>
            <w:tcBorders>
              <w:top w:val="double" w:sz="4" w:space="0" w:color="auto"/>
            </w:tcBorders>
            <w:vAlign w:val="center"/>
          </w:tcPr>
          <w:p w14:paraId="4359F891" w14:textId="018BA814" w:rsidR="00656164" w:rsidRDefault="00656164" w:rsidP="00656164">
            <w:pPr>
              <w:jc w:val="center"/>
              <w:rPr>
                <w:ins w:id="157" w:author="Hajdin Miloš" w:date="2025-04-07T11:25:00Z" w16du:dateUtc="2025-04-07T09:25:00Z"/>
                <w:rFonts w:cstheme="minorHAnsi"/>
              </w:rPr>
            </w:pPr>
            <w:ins w:id="158" w:author="Hajdin Miloš" w:date="2025-04-07T11:25:00Z" w16du:dateUtc="2025-04-07T09:25:00Z">
              <w:r>
                <w:rPr>
                  <w:rFonts w:cstheme="minorHAnsi"/>
                </w:rPr>
                <w:t>9,29 eur/hod</w:t>
              </w:r>
            </w:ins>
          </w:p>
        </w:tc>
      </w:tr>
      <w:tr w:rsidR="00656164" w14:paraId="3A982D22" w14:textId="77777777" w:rsidTr="00A93EB1">
        <w:trPr>
          <w:trHeight w:val="924"/>
          <w:ins w:id="159" w:author="Hajdin Miloš" w:date="2025-04-07T11:25:00Z"/>
        </w:trPr>
        <w:tc>
          <w:tcPr>
            <w:tcW w:w="2263" w:type="dxa"/>
            <w:tcBorders>
              <w:top w:val="double" w:sz="4" w:space="0" w:color="auto"/>
            </w:tcBorders>
            <w:vAlign w:val="center"/>
          </w:tcPr>
          <w:p w14:paraId="1A2E4B79" w14:textId="65BBA563" w:rsidR="00656164" w:rsidRDefault="00656164" w:rsidP="00656164">
            <w:pPr>
              <w:jc w:val="center"/>
              <w:rPr>
                <w:ins w:id="160" w:author="Hajdin Miloš" w:date="2025-04-07T11:25:00Z" w16du:dateUtc="2025-04-07T09:25:00Z"/>
                <w:rFonts w:cstheme="minorHAnsi"/>
                <w:b/>
              </w:rPr>
            </w:pPr>
            <w:ins w:id="161" w:author="Hajdin Miloš" w:date="2025-04-07T11:25:00Z" w16du:dateUtc="2025-04-07T09:25:00Z">
              <w:r>
                <w:rPr>
                  <w:rFonts w:cstheme="minorHAnsi"/>
                  <w:b/>
                </w:rPr>
                <w:t>Finančný limit na asistenta bývania – mimopracovný pomer – rok 2028</w:t>
              </w:r>
            </w:ins>
          </w:p>
        </w:tc>
        <w:tc>
          <w:tcPr>
            <w:tcW w:w="6804" w:type="dxa"/>
            <w:gridSpan w:val="3"/>
            <w:tcBorders>
              <w:top w:val="double" w:sz="4" w:space="0" w:color="auto"/>
            </w:tcBorders>
            <w:vAlign w:val="center"/>
          </w:tcPr>
          <w:p w14:paraId="7D121AB9" w14:textId="6AC4A18D" w:rsidR="00656164" w:rsidRDefault="00656164" w:rsidP="00656164">
            <w:pPr>
              <w:jc w:val="center"/>
              <w:rPr>
                <w:ins w:id="162" w:author="Hajdin Miloš" w:date="2025-04-07T11:25:00Z" w16du:dateUtc="2025-04-07T09:25:00Z"/>
                <w:rFonts w:cstheme="minorHAnsi"/>
              </w:rPr>
            </w:pPr>
            <w:ins w:id="163" w:author="Hajdin Miloš" w:date="2025-04-07T11:25:00Z" w16du:dateUtc="2025-04-07T09:25:00Z">
              <w:r>
                <w:rPr>
                  <w:rFonts w:cstheme="minorHAnsi"/>
                </w:rPr>
                <w:t>9,94 eur/hod</w:t>
              </w:r>
            </w:ins>
          </w:p>
        </w:tc>
      </w:tr>
      <w:tr w:rsidR="00656164" w14:paraId="7606F961" w14:textId="77777777" w:rsidTr="00A93EB1">
        <w:trPr>
          <w:trHeight w:val="924"/>
          <w:ins w:id="164" w:author="Hajdin Miloš" w:date="2025-04-07T11:25:00Z"/>
        </w:trPr>
        <w:tc>
          <w:tcPr>
            <w:tcW w:w="2263" w:type="dxa"/>
            <w:tcBorders>
              <w:top w:val="double" w:sz="4" w:space="0" w:color="auto"/>
            </w:tcBorders>
            <w:vAlign w:val="center"/>
          </w:tcPr>
          <w:p w14:paraId="6458B0B4" w14:textId="14769AAE" w:rsidR="00656164" w:rsidRDefault="00656164" w:rsidP="00656164">
            <w:pPr>
              <w:jc w:val="center"/>
              <w:rPr>
                <w:ins w:id="165" w:author="Hajdin Miloš" w:date="2025-04-07T11:25:00Z" w16du:dateUtc="2025-04-07T09:25:00Z"/>
                <w:rFonts w:cstheme="minorHAnsi"/>
                <w:b/>
              </w:rPr>
            </w:pPr>
            <w:ins w:id="166" w:author="Hajdin Miloš" w:date="2025-04-07T11:25:00Z" w16du:dateUtc="2025-04-07T09:25:00Z">
              <w:r>
                <w:rPr>
                  <w:rFonts w:cstheme="minorHAnsi"/>
                  <w:b/>
                </w:rPr>
                <w:t>Finančný limit na asistenta bývania – mimopracovný pomer – rok 2029</w:t>
              </w:r>
            </w:ins>
          </w:p>
        </w:tc>
        <w:tc>
          <w:tcPr>
            <w:tcW w:w="6804" w:type="dxa"/>
            <w:gridSpan w:val="3"/>
            <w:tcBorders>
              <w:top w:val="double" w:sz="4" w:space="0" w:color="auto"/>
            </w:tcBorders>
            <w:vAlign w:val="center"/>
          </w:tcPr>
          <w:p w14:paraId="397FC720" w14:textId="2518D3D0" w:rsidR="00656164" w:rsidRDefault="00656164" w:rsidP="00656164">
            <w:pPr>
              <w:jc w:val="center"/>
              <w:rPr>
                <w:ins w:id="167" w:author="Hajdin Miloš" w:date="2025-04-07T11:25:00Z" w16du:dateUtc="2025-04-07T09:25:00Z"/>
                <w:rFonts w:cstheme="minorHAnsi"/>
              </w:rPr>
            </w:pPr>
            <w:ins w:id="168" w:author="Hajdin Miloš" w:date="2025-04-07T11:25:00Z" w16du:dateUtc="2025-04-07T09:25:00Z">
              <w:r>
                <w:rPr>
                  <w:rFonts w:cstheme="minorHAnsi"/>
                </w:rPr>
                <w:t>10,63 eur/hod</w:t>
              </w:r>
            </w:ins>
          </w:p>
        </w:tc>
      </w:tr>
    </w:tbl>
    <w:p w14:paraId="2EAB1407" w14:textId="5050F56D" w:rsidR="00DC3E7F" w:rsidRDefault="00DC3E7F" w:rsidP="00751AAA">
      <w:pPr>
        <w:rPr>
          <w:rFonts w:cstheme="minorHAnsi"/>
          <w:i/>
        </w:rPr>
      </w:pPr>
    </w:p>
    <w:p w14:paraId="4CE42E7D" w14:textId="3D686E53" w:rsidR="00730733" w:rsidDel="00656164" w:rsidRDefault="00730733" w:rsidP="00730733">
      <w:pPr>
        <w:rPr>
          <w:del w:id="169" w:author="Hajdin Miloš" w:date="2025-04-07T11:25:00Z" w16du:dateUtc="2025-04-07T09:25:00Z"/>
          <w:rFonts w:cstheme="minorHAnsi"/>
          <w:i/>
        </w:rPr>
      </w:pPr>
      <w:del w:id="170" w:author="Hajdin Miloš" w:date="2025-04-07T11:25:00Z" w16du:dateUtc="2025-04-07T09:25:00Z">
        <w:r w:rsidDel="00656164">
          <w:rPr>
            <w:rFonts w:cstheme="minorHAnsi"/>
            <w:i/>
          </w:rPr>
          <w:delText xml:space="preserve">Pozn. č. 1: </w:delText>
        </w:r>
        <w:r w:rsidRPr="00730733" w:rsidDel="00656164">
          <w:rPr>
            <w:rFonts w:cstheme="minorHAnsi"/>
            <w:i/>
          </w:rPr>
          <w:delText>Maximálna celková cena</w:delText>
        </w:r>
        <w:r w:rsidDel="00656164">
          <w:rPr>
            <w:rFonts w:cstheme="minorHAnsi"/>
            <w:i/>
          </w:rPr>
          <w:delText xml:space="preserve"> </w:delText>
        </w:r>
        <w:r w:rsidRPr="00730733" w:rsidDel="00656164">
          <w:rPr>
            <w:rFonts w:cstheme="minorHAnsi"/>
            <w:i/>
          </w:rPr>
          <w:delText>práce bude prepočítaná každoročne k 1. januáru príslušného roka.</w:delText>
        </w:r>
      </w:del>
    </w:p>
    <w:p w14:paraId="02935950" w14:textId="5B2188C3" w:rsidR="00751AAA" w:rsidRDefault="00751AAA" w:rsidP="00751AAA">
      <w:pPr>
        <w:rPr>
          <w:rFonts w:cstheme="minorHAnsi"/>
          <w:i/>
        </w:rPr>
      </w:pPr>
      <w:r w:rsidRPr="00BD3546">
        <w:rPr>
          <w:rFonts w:cstheme="minorHAnsi"/>
          <w:i/>
        </w:rPr>
        <w:t>Pozn.</w:t>
      </w:r>
      <w:r w:rsidR="00730733">
        <w:rPr>
          <w:rFonts w:cstheme="minorHAnsi"/>
          <w:i/>
        </w:rPr>
        <w:t xml:space="preserve"> č. </w:t>
      </w:r>
      <w:del w:id="171" w:author="Hajdin Miloš" w:date="2025-04-07T11:25:00Z" w16du:dateUtc="2025-04-07T09:25:00Z">
        <w:r w:rsidR="00730733" w:rsidDel="00656164">
          <w:rPr>
            <w:rFonts w:cstheme="minorHAnsi"/>
            <w:i/>
          </w:rPr>
          <w:delText>2</w:delText>
        </w:r>
      </w:del>
      <w:ins w:id="172" w:author="Hajdin Miloš" w:date="2025-04-07T11:25:00Z" w16du:dateUtc="2025-04-07T09:25:00Z">
        <w:r w:rsidR="00656164">
          <w:rPr>
            <w:rFonts w:cstheme="minorHAnsi"/>
            <w:i/>
          </w:rPr>
          <w:t>1</w:t>
        </w:r>
      </w:ins>
      <w:r w:rsidRPr="00BD3546">
        <w:rPr>
          <w:rFonts w:cstheme="minorHAnsi"/>
          <w:i/>
        </w:rPr>
        <w:t xml:space="preserve">: V tabuľke </w:t>
      </w:r>
      <w:r w:rsidR="000B5FDB">
        <w:rPr>
          <w:rFonts w:cstheme="minorHAnsi"/>
          <w:i/>
        </w:rPr>
        <w:t xml:space="preserve">č. 7 a v tabuľke č. 8 </w:t>
      </w:r>
      <w:r w:rsidRPr="00BD3546">
        <w:rPr>
          <w:rFonts w:cstheme="minorHAnsi"/>
          <w:i/>
        </w:rPr>
        <w:t xml:space="preserve">je určenie maximálneho počtu asistentov bývania podľa typu úväzku a počtu podporených bytových jednotiek. Maximálny počet asistentov bývania môže byť vyskladaný nižšími pracovnými úväzkami, avšak maximálne do limitu hodín pracovného úväzku </w:t>
      </w:r>
      <w:r w:rsidRPr="00BD3546">
        <w:rPr>
          <w:rFonts w:cstheme="minorHAnsi"/>
          <w:i/>
        </w:rPr>
        <w:lastRenderedPageBreak/>
        <w:t>(napríklad pri počte podporených bytových jednotiek 36 a viac môžu byť traja asistenti bývania na plný pracovný úväzok, alebo 6 asistenti bývania na ½ pracovný úväzok, alebo iná zodpovedajúca kombinácia).</w:t>
      </w:r>
    </w:p>
    <w:p w14:paraId="2D892F23" w14:textId="16B4F0E3" w:rsidR="00DC3E7F" w:rsidRDefault="00E3133D" w:rsidP="001E16D8">
      <w:pPr>
        <w:rPr>
          <w:rFonts w:eastAsiaTheme="majorEastAsia" w:cstheme="minorHAnsi"/>
          <w:b/>
          <w:bCs/>
          <w:color w:val="2E74B5" w:themeColor="accent1" w:themeShade="BF"/>
          <w:sz w:val="28"/>
          <w:szCs w:val="28"/>
        </w:rPr>
      </w:pPr>
      <w:r>
        <w:rPr>
          <w:rFonts w:cstheme="minorHAnsi"/>
          <w:i/>
        </w:rPr>
        <w:t xml:space="preserve">Pozn. č. </w:t>
      </w:r>
      <w:del w:id="173" w:author="Hajdin Miloš" w:date="2025-04-07T11:27:00Z" w16du:dateUtc="2025-04-07T09:27:00Z">
        <w:r w:rsidDel="00FF7AB1">
          <w:rPr>
            <w:rFonts w:cstheme="minorHAnsi"/>
            <w:i/>
          </w:rPr>
          <w:delText>3</w:delText>
        </w:r>
      </w:del>
      <w:ins w:id="174" w:author="Hajdin Miloš" w:date="2025-04-07T11:27:00Z" w16du:dateUtc="2025-04-07T09:27:00Z">
        <w:r w:rsidR="00FF7AB1">
          <w:rPr>
            <w:rFonts w:cstheme="minorHAnsi"/>
            <w:i/>
          </w:rPr>
          <w:t>2</w:t>
        </w:r>
      </w:ins>
      <w:r>
        <w:rPr>
          <w:rFonts w:cstheme="minorHAnsi"/>
          <w:i/>
        </w:rPr>
        <w:t xml:space="preserve">: V </w:t>
      </w:r>
      <w:r w:rsidRPr="00BD3546">
        <w:rPr>
          <w:rFonts w:cstheme="minorHAnsi"/>
          <w:i/>
        </w:rPr>
        <w:t xml:space="preserve">tabuľke </w:t>
      </w:r>
      <w:r>
        <w:rPr>
          <w:rFonts w:cstheme="minorHAnsi"/>
          <w:i/>
        </w:rPr>
        <w:t>č. 7 a v tabuľke č. 8 sú pri Celkovej cene práce a pri Finančnom limite uvedené sumy platné na rok 2024. Pre účely určenia oprávnených výdavkov v rozpočte projektu však používame medián uvedených položiek po doplnenej ročnej indexácii (7 % ročne) vyššie uvedených súm na celé obdobie udržateľnosti projektu (60 mesiacov). Medián finančného limitu je na úrovni 9,30 eur/hod a medián celkovej ceny práce pri 1 asistentovi bývania na 100 % pracovný úväzok je na úrovni 1497,00 eur (297,00 eur pri 20 % pracovnom úväzku a 744,00 eur pri 50 % pracovnom úväzku).</w:t>
      </w:r>
    </w:p>
    <w:p w14:paraId="3C326912" w14:textId="4B76F45B" w:rsidR="00CE09FD" w:rsidRPr="008146B2" w:rsidRDefault="00CE09FD" w:rsidP="00CE09FD">
      <w:pPr>
        <w:jc w:val="both"/>
        <w:rPr>
          <w:rFonts w:eastAsiaTheme="majorEastAsia" w:cstheme="minorHAnsi"/>
          <w:b/>
          <w:bCs/>
          <w:color w:val="2E74B5" w:themeColor="accent1" w:themeShade="BF"/>
          <w:sz w:val="28"/>
          <w:szCs w:val="28"/>
        </w:rPr>
      </w:pPr>
      <w:r w:rsidRPr="008146B2">
        <w:rPr>
          <w:rFonts w:eastAsiaTheme="majorEastAsia" w:cstheme="minorHAnsi"/>
          <w:b/>
          <w:bCs/>
          <w:color w:val="2E74B5" w:themeColor="accent1" w:themeShade="BF"/>
          <w:sz w:val="28"/>
          <w:szCs w:val="28"/>
        </w:rPr>
        <w:t xml:space="preserve">4. Neoprávnené výdavky </w:t>
      </w:r>
    </w:p>
    <w:p w14:paraId="74F5BCC4" w14:textId="77777777" w:rsidR="00CE09FD" w:rsidRPr="008146B2" w:rsidRDefault="00CE09FD" w:rsidP="00CE09FD">
      <w:pPr>
        <w:rPr>
          <w:rFonts w:cstheme="minorHAnsi"/>
          <w:u w:val="single"/>
        </w:rPr>
      </w:pPr>
      <w:r w:rsidRPr="008146B2">
        <w:rPr>
          <w:rFonts w:cstheme="minorHAnsi"/>
        </w:rPr>
        <w:t xml:space="preserve">Zoznam neoprávnených výdavkov je uvedený v </w:t>
      </w:r>
      <w:hyperlink r:id="rId13" w:history="1">
        <w:r w:rsidRPr="008146B2">
          <w:rPr>
            <w:rFonts w:cstheme="minorHAnsi"/>
            <w:u w:val="single"/>
          </w:rPr>
          <w:t>Príručke k oprávnenosti výdavkov P SK.</w:t>
        </w:r>
      </w:hyperlink>
    </w:p>
    <w:sectPr w:rsidR="00CE09FD" w:rsidRPr="008146B2" w:rsidSect="00401177">
      <w:headerReference w:type="default" r:id="rId14"/>
      <w:footerReference w:type="default" r:id="rId15"/>
      <w:pgSz w:w="11906" w:h="16838"/>
      <w:pgMar w:top="1247" w:right="1418" w:bottom="1191"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615EE" w14:textId="77777777" w:rsidR="00CF6C88" w:rsidRDefault="00CF6C88" w:rsidP="00CE09FD">
      <w:pPr>
        <w:spacing w:after="0" w:line="240" w:lineRule="auto"/>
      </w:pPr>
      <w:r>
        <w:separator/>
      </w:r>
    </w:p>
  </w:endnote>
  <w:endnote w:type="continuationSeparator" w:id="0">
    <w:p w14:paraId="5E0DDF27" w14:textId="77777777" w:rsidR="00CF6C88" w:rsidRDefault="00CF6C88" w:rsidP="00CE0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2761178"/>
      <w:docPartObj>
        <w:docPartGallery w:val="Page Numbers (Bottom of Page)"/>
        <w:docPartUnique/>
      </w:docPartObj>
    </w:sdtPr>
    <w:sdtEndPr/>
    <w:sdtContent>
      <w:p w14:paraId="76735A38" w14:textId="76F0B5D3" w:rsidR="00CF6C88" w:rsidRDefault="00CF6C88" w:rsidP="008546B3">
        <w:pPr>
          <w:pStyle w:val="Pta"/>
          <w:jc w:val="center"/>
        </w:pPr>
        <w:r>
          <w:fldChar w:fldCharType="begin"/>
        </w:r>
        <w:r>
          <w:instrText>PAGE   \* MERGEFORMAT</w:instrText>
        </w:r>
        <w:r>
          <w:fldChar w:fldCharType="separate"/>
        </w:r>
        <w:r w:rsidR="00DE1F27">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C5DF6" w14:textId="77777777" w:rsidR="00CF6C88" w:rsidRDefault="00CF6C88" w:rsidP="00CE09FD">
      <w:pPr>
        <w:spacing w:after="0" w:line="240" w:lineRule="auto"/>
      </w:pPr>
      <w:r>
        <w:separator/>
      </w:r>
    </w:p>
  </w:footnote>
  <w:footnote w:type="continuationSeparator" w:id="0">
    <w:p w14:paraId="2BFAC98A" w14:textId="77777777" w:rsidR="00CF6C88" w:rsidRDefault="00CF6C88" w:rsidP="00CE09FD">
      <w:pPr>
        <w:spacing w:after="0" w:line="240" w:lineRule="auto"/>
      </w:pPr>
      <w:r>
        <w:continuationSeparator/>
      </w:r>
    </w:p>
  </w:footnote>
  <w:footnote w:id="1">
    <w:p w14:paraId="620F495B" w14:textId="0FE37BEF" w:rsidR="0095533F" w:rsidRPr="00674889" w:rsidRDefault="0095533F" w:rsidP="0095533F">
      <w:pPr>
        <w:pStyle w:val="Textpoznmkypodiarou"/>
        <w:rPr>
          <w:sz w:val="18"/>
          <w:szCs w:val="18"/>
        </w:rPr>
      </w:pPr>
      <w:r w:rsidRPr="00674889">
        <w:rPr>
          <w:rStyle w:val="Odkaznapoznmkupodiarou"/>
          <w:sz w:val="18"/>
          <w:szCs w:val="18"/>
        </w:rPr>
        <w:footnoteRef/>
      </w:r>
      <w:r w:rsidRPr="00674889">
        <w:rPr>
          <w:sz w:val="18"/>
          <w:szCs w:val="18"/>
        </w:rPr>
        <w:t xml:space="preserve"> </w:t>
      </w:r>
      <w:ins w:id="7" w:author="Hajdin Miloš" w:date="2025-04-07T10:47:00Z" w16du:dateUtc="2025-04-07T08:47:00Z">
        <w:r w:rsidR="00665E65">
          <w:rPr>
            <w:sz w:val="18"/>
            <w:szCs w:val="18"/>
          </w:rPr>
          <w:t>Paušálna sadzba</w:t>
        </w:r>
      </w:ins>
      <w:ins w:id="8" w:author="Hajdin Miloš" w:date="2025-04-07T10:56:00Z" w16du:dateUtc="2025-04-07T08:56:00Z">
        <w:r w:rsidR="00665E65">
          <w:rPr>
            <w:sz w:val="18"/>
            <w:szCs w:val="18"/>
          </w:rPr>
          <w:t xml:space="preserve"> na </w:t>
        </w:r>
      </w:ins>
      <w:ins w:id="9" w:author="Hajdin Miloš" w:date="2025-04-07T10:47:00Z" w16du:dateUtc="2025-04-07T08:47:00Z">
        <w:r w:rsidR="00665E65">
          <w:rPr>
            <w:sz w:val="18"/>
            <w:szCs w:val="18"/>
          </w:rPr>
          <w:t>nepriam</w:t>
        </w:r>
      </w:ins>
      <w:ins w:id="10" w:author="Hajdin Miloš" w:date="2025-04-07T10:56:00Z" w16du:dateUtc="2025-04-07T08:56:00Z">
        <w:r w:rsidR="00665E65">
          <w:rPr>
            <w:sz w:val="18"/>
            <w:szCs w:val="18"/>
          </w:rPr>
          <w:t>e</w:t>
        </w:r>
      </w:ins>
      <w:ins w:id="11" w:author="Hajdin Miloš" w:date="2025-04-07T10:47:00Z" w16du:dateUtc="2025-04-07T08:47:00Z">
        <w:r w:rsidR="00665E65">
          <w:rPr>
            <w:sz w:val="18"/>
            <w:szCs w:val="18"/>
          </w:rPr>
          <w:t xml:space="preserve"> výdavk</w:t>
        </w:r>
      </w:ins>
      <w:ins w:id="12" w:author="Hajdin Miloš" w:date="2025-04-07T10:56:00Z" w16du:dateUtc="2025-04-07T08:56:00Z">
        <w:r w:rsidR="00665E65">
          <w:rPr>
            <w:sz w:val="18"/>
            <w:szCs w:val="18"/>
          </w:rPr>
          <w:t>y</w:t>
        </w:r>
      </w:ins>
      <w:ins w:id="13" w:author="Hajdin Miloš" w:date="2025-04-07T10:57:00Z" w16du:dateUtc="2025-04-07T08:57:00Z">
        <w:r w:rsidR="00665E65">
          <w:rPr>
            <w:sz w:val="18"/>
            <w:szCs w:val="18"/>
          </w:rPr>
          <w:t xml:space="preserve"> </w:t>
        </w:r>
      </w:ins>
      <w:del w:id="14" w:author="Hajdin Miloš" w:date="2025-04-07T10:47:00Z" w16du:dateUtc="2025-04-07T08:47:00Z">
        <w:r w:rsidRPr="00674889" w:rsidDel="00665E65">
          <w:rPr>
            <w:sz w:val="18"/>
            <w:szCs w:val="18"/>
          </w:rPr>
          <w:delText xml:space="preserve">Limit </w:delText>
        </w:r>
      </w:del>
      <w:r w:rsidRPr="00674889">
        <w:rPr>
          <w:sz w:val="18"/>
          <w:szCs w:val="18"/>
        </w:rPr>
        <w:t>z celkových priamych oprávnených výdavkov od vyhlásenia výzvy (s DPH).</w:t>
      </w:r>
    </w:p>
  </w:footnote>
  <w:footnote w:id="2">
    <w:p w14:paraId="5A698A5C" w14:textId="77777777" w:rsidR="00CF6C88" w:rsidRPr="002B4EC2" w:rsidRDefault="00CF6C88" w:rsidP="00CE09FD">
      <w:pPr>
        <w:pStyle w:val="Textpoznmkypodiarou"/>
        <w:rPr>
          <w:sz w:val="16"/>
          <w:szCs w:val="16"/>
        </w:rPr>
      </w:pPr>
      <w:r w:rsidRPr="002B4EC2">
        <w:rPr>
          <w:rStyle w:val="Odkaznapoznmkupodiarou"/>
          <w:sz w:val="16"/>
          <w:szCs w:val="16"/>
        </w:rPr>
        <w:footnoteRef/>
      </w:r>
      <w:r w:rsidRPr="002B4EC2">
        <w:rPr>
          <w:sz w:val="16"/>
          <w:szCs w:val="16"/>
        </w:rPr>
        <w:t xml:space="preserve"> Podmienky oprávnenosti DPH sú uvedené v rámci </w:t>
      </w:r>
      <w:hyperlink r:id="rId1" w:history="1">
        <w:r w:rsidRPr="002B4EC2">
          <w:rPr>
            <w:sz w:val="16"/>
            <w:szCs w:val="16"/>
          </w:rPr>
          <w:t>Príručky k oprávnenosti výdavkov PSK</w:t>
        </w:r>
      </w:hyperlink>
      <w:r w:rsidRPr="002B4EC2">
        <w:rPr>
          <w:sz w:val="16"/>
          <w:szCs w:val="16"/>
        </w:rPr>
        <w:t>.</w:t>
      </w:r>
    </w:p>
  </w:footnote>
  <w:footnote w:id="3">
    <w:p w14:paraId="1DEDC723" w14:textId="77777777" w:rsidR="00CF6C88" w:rsidRPr="00DC3E7F" w:rsidRDefault="00CF6C88" w:rsidP="00CE09FD">
      <w:pPr>
        <w:pStyle w:val="Textpoznmkypodiarou"/>
        <w:rPr>
          <w:sz w:val="16"/>
          <w:szCs w:val="16"/>
        </w:rPr>
      </w:pPr>
      <w:r w:rsidRPr="00DC3E7F">
        <w:rPr>
          <w:sz w:val="16"/>
          <w:szCs w:val="16"/>
        </w:rPr>
        <w:footnoteRef/>
      </w:r>
      <w:r w:rsidRPr="00DC3E7F">
        <w:rPr>
          <w:sz w:val="16"/>
          <w:szCs w:val="16"/>
        </w:rPr>
        <w:t xml:space="preserve"> </w:t>
      </w:r>
      <w:r w:rsidRPr="00A93EB1">
        <w:rPr>
          <w:sz w:val="16"/>
          <w:szCs w:val="16"/>
        </w:rPr>
        <w:t>Všetky limity s väzbou na priame výdavky, pre ktoré nie je daň z pridanej hodnoty (ďalej len „DPH“) relevantná, sú uvedené bez DPH.</w:t>
      </w:r>
    </w:p>
  </w:footnote>
  <w:footnote w:id="4">
    <w:p w14:paraId="45FD49C7" w14:textId="77777777" w:rsidR="00CF6C88" w:rsidRPr="002B4EC2" w:rsidRDefault="00CF6C88" w:rsidP="00CE09FD">
      <w:pPr>
        <w:pStyle w:val="Textpoznmkypodiarou"/>
        <w:rPr>
          <w:sz w:val="16"/>
          <w:szCs w:val="16"/>
        </w:rPr>
      </w:pPr>
      <w:r w:rsidRPr="002B4EC2">
        <w:rPr>
          <w:sz w:val="16"/>
          <w:szCs w:val="16"/>
        </w:rPr>
        <w:footnoteRef/>
      </w:r>
      <w:r w:rsidRPr="002B4EC2">
        <w:rPr>
          <w:sz w:val="16"/>
          <w:szCs w:val="16"/>
        </w:rPr>
        <w:t xml:space="preserve"> Priame výdavky tvoria súčet oprávnených výdavkov na stavebné práce, rezervu na nepredvídané výdavky, vybavenie, stavebný dozor, prípravnú a projektovú dokumentáciu.</w:t>
      </w:r>
    </w:p>
  </w:footnote>
  <w:footnote w:id="5">
    <w:p w14:paraId="21043CC0" w14:textId="77777777" w:rsidR="00CF6C88" w:rsidRPr="002B4EC2" w:rsidRDefault="00CF6C88" w:rsidP="00CE09FD">
      <w:pPr>
        <w:pStyle w:val="Textpoznmkypodiarou"/>
        <w:rPr>
          <w:sz w:val="16"/>
          <w:szCs w:val="16"/>
        </w:rPr>
      </w:pPr>
      <w:r w:rsidRPr="002B4EC2">
        <w:rPr>
          <w:rStyle w:val="Odkaznapoznmkupodiarou"/>
          <w:sz w:val="16"/>
          <w:szCs w:val="16"/>
        </w:rPr>
        <w:footnoteRef/>
      </w:r>
      <w:r w:rsidRPr="002B4EC2">
        <w:rPr>
          <w:sz w:val="16"/>
          <w:szCs w:val="16"/>
        </w:rPr>
        <w:t xml:space="preserve"> Limit z celkových oprávnených výdavkov na stavebné práce (s DPH).</w:t>
      </w:r>
    </w:p>
  </w:footnote>
  <w:footnote w:id="6">
    <w:p w14:paraId="3A9B42FB" w14:textId="77777777" w:rsidR="002207CF" w:rsidRPr="002B4EC2" w:rsidRDefault="002207CF" w:rsidP="00CE09FD">
      <w:pPr>
        <w:pStyle w:val="Textpoznmkypodiarou"/>
        <w:rPr>
          <w:sz w:val="16"/>
          <w:szCs w:val="16"/>
        </w:rPr>
      </w:pPr>
      <w:r w:rsidRPr="002B4EC2">
        <w:rPr>
          <w:rStyle w:val="Odkaznapoznmkupodiarou"/>
          <w:sz w:val="16"/>
          <w:szCs w:val="16"/>
        </w:rPr>
        <w:footnoteRef/>
      </w:r>
      <w:r w:rsidRPr="002B4EC2">
        <w:rPr>
          <w:sz w:val="16"/>
          <w:szCs w:val="16"/>
        </w:rPr>
        <w:t xml:space="preserve"> Limit z celkových oprávnených výdavkov na stavebné práce (s DPH).</w:t>
      </w:r>
    </w:p>
  </w:footnote>
  <w:footnote w:id="7">
    <w:p w14:paraId="57DF50B1" w14:textId="77777777" w:rsidR="002207CF" w:rsidRPr="000C35CF" w:rsidRDefault="002207CF" w:rsidP="00CE09FD">
      <w:pPr>
        <w:pStyle w:val="Textpoznmkypodiarou"/>
        <w:rPr>
          <w:sz w:val="16"/>
          <w:szCs w:val="16"/>
        </w:rPr>
      </w:pPr>
      <w:r w:rsidRPr="00516868">
        <w:rPr>
          <w:rStyle w:val="Odkaznapoznmkupodiarou"/>
          <w:sz w:val="16"/>
          <w:szCs w:val="16"/>
        </w:rPr>
        <w:footnoteRef/>
      </w:r>
      <w:r w:rsidRPr="00516868">
        <w:rPr>
          <w:sz w:val="16"/>
          <w:szCs w:val="16"/>
        </w:rPr>
        <w:t xml:space="preserve"> Zahŕňa vypracovanie projektovej dokumentácie stavby v rozsahu realizačnej dokumentácie, vrátane autorského dozoru, inžinierske a prípravné práce, ktoré zahŕňajú zabezpečenie vstupných podkladov pre realizáciu stavby (napr. inžiniersko-geologický prieskum, dopravný prieskum, hluková štúdia, posúdenie vplyvu na životné prostredie, dendrologický prieskum, geodetické zameranie územia a iné), dokumentácia skutočného vyhotovenia stavby.</w:t>
      </w:r>
    </w:p>
  </w:footnote>
  <w:footnote w:id="8">
    <w:p w14:paraId="5F5BCBD9" w14:textId="77777777" w:rsidR="00CF6C88" w:rsidRPr="000C35CF" w:rsidRDefault="00CF6C88" w:rsidP="00CE09FD">
      <w:pPr>
        <w:pStyle w:val="Textpoznmkypodiarou"/>
        <w:jc w:val="both"/>
        <w:rPr>
          <w:sz w:val="16"/>
          <w:szCs w:val="16"/>
        </w:rPr>
      </w:pPr>
      <w:r w:rsidRPr="000C35CF">
        <w:rPr>
          <w:rStyle w:val="Odkaznapoznmkupodiarou"/>
          <w:sz w:val="16"/>
          <w:szCs w:val="16"/>
        </w:rPr>
        <w:footnoteRef/>
      </w:r>
      <w:r w:rsidRPr="000C35CF">
        <w:rPr>
          <w:sz w:val="16"/>
          <w:szCs w:val="16"/>
        </w:rPr>
        <w:t xml:space="preserve"> Všetky výdavky zaradené do skupiny výdavkov 021 – Stavby musia mať priamu väzbu na dosiahnutie cieľov projektu. V opačnom prípade budú považované za neoprávnené. Podmienky oprávnenosti výdavkov pre skupinu výdavkov 021 – Stavby sú uvedené v Príručke k oprávnenosti výdavkov P SK.</w:t>
      </w:r>
    </w:p>
  </w:footnote>
  <w:footnote w:id="9">
    <w:p w14:paraId="5FA83665" w14:textId="77777777" w:rsidR="00CF6C88" w:rsidRPr="000C35CF" w:rsidRDefault="00CF6C88" w:rsidP="00CE09FD">
      <w:pPr>
        <w:pStyle w:val="Textpoznmkypodiarou"/>
        <w:jc w:val="both"/>
        <w:rPr>
          <w:rFonts w:cs="Times New Roman"/>
          <w:sz w:val="16"/>
          <w:szCs w:val="16"/>
        </w:rPr>
      </w:pPr>
      <w:r w:rsidRPr="000C35CF">
        <w:rPr>
          <w:rStyle w:val="Odkaznapoznmkupodiarou"/>
          <w:rFonts w:cs="Times New Roman"/>
          <w:sz w:val="16"/>
          <w:szCs w:val="16"/>
        </w:rPr>
        <w:footnoteRef/>
      </w:r>
      <w:r w:rsidRPr="000C35CF">
        <w:rPr>
          <w:rFonts w:cs="Times New Roman"/>
          <w:sz w:val="16"/>
          <w:szCs w:val="16"/>
        </w:rPr>
        <w:t xml:space="preserve"> Skupina „029 Ostatný dlhodobý hmotný majetok“ – ak relevantné v zmysle Opatrenia MF SR z 8. augusta 2007 </w:t>
      </w:r>
      <w:proofErr w:type="spellStart"/>
      <w:r w:rsidRPr="000C35CF">
        <w:rPr>
          <w:rFonts w:cs="Times New Roman"/>
          <w:sz w:val="16"/>
          <w:szCs w:val="16"/>
        </w:rPr>
        <w:t>č.MF</w:t>
      </w:r>
      <w:proofErr w:type="spellEnd"/>
      <w:r w:rsidRPr="000C35CF">
        <w:rPr>
          <w:rFonts w:cs="Times New Roman"/>
          <w:sz w:val="16"/>
          <w:szCs w:val="16"/>
        </w:rPr>
        <w:t xml:space="preserve">/16786/2007-31, ktorým sa ustanovujú podrobnosti o postupoch účtovania a rámcovej účtovej  osnove pre rozpočtové organizácie, príspevkové organizácie, štátne fondy,  obce a vyššie územné celky (Úplné znenie Opatrenia k postupom účtovania ROPO, ŠF, obcí a VÚC pre rok 2016, § 32, bod 11)    </w:t>
      </w:r>
      <w:hyperlink r:id="rId2" w:history="1">
        <w:r w:rsidRPr="000C35CF">
          <w:rPr>
            <w:rStyle w:val="Hypertextovprepojenie"/>
            <w:sz w:val="16"/>
            <w:szCs w:val="16"/>
          </w:rPr>
          <w:t>https://www.finance.gov.sk/sk/financie/statne-vykaznictvo/legislativa/postupy-uctovania-ropo-obci-vuc-statnych-fondov/</w:t>
        </w:r>
      </w:hyperlink>
      <w:r w:rsidRPr="000C35CF">
        <w:rPr>
          <w:sz w:val="16"/>
          <w:szCs w:val="16"/>
        </w:rPr>
        <w:t>.</w:t>
      </w:r>
    </w:p>
  </w:footnote>
  <w:footnote w:id="10">
    <w:p w14:paraId="62643D1F" w14:textId="4B3DCB5A" w:rsidR="00354C3D" w:rsidRPr="000C35CF" w:rsidRDefault="00354C3D">
      <w:pPr>
        <w:pStyle w:val="Textpoznmkypodiarou"/>
        <w:rPr>
          <w:sz w:val="16"/>
          <w:szCs w:val="16"/>
        </w:rPr>
      </w:pPr>
      <w:r w:rsidRPr="000C35CF">
        <w:rPr>
          <w:rStyle w:val="Odkaznapoznmkupodiarou"/>
          <w:sz w:val="16"/>
          <w:szCs w:val="16"/>
        </w:rPr>
        <w:footnoteRef/>
      </w:r>
      <w:r w:rsidRPr="000C35CF">
        <w:rPr>
          <w:sz w:val="16"/>
          <w:szCs w:val="16"/>
        </w:rPr>
        <w:t xml:space="preserve"> Odborný autorský do</w:t>
      </w:r>
      <w:r w:rsidR="00A90053" w:rsidRPr="000C35CF">
        <w:rPr>
          <w:sz w:val="16"/>
          <w:szCs w:val="16"/>
        </w:rPr>
        <w:t>hľad</w:t>
      </w:r>
      <w:r w:rsidRPr="000C35CF">
        <w:rPr>
          <w:sz w:val="16"/>
          <w:szCs w:val="16"/>
        </w:rPr>
        <w:t xml:space="preserve"> bude obstaraný spolu s projektovou dokumentáciou v rámci projektu pre realizáciu stavby a výdavok na odborný autorský dohľad bude v rámci projektovej dokumentácie samostatne vyčíslený. V prípade nesplnenia uvedených podmienok bude predmetný výdavok považovaný poskytovateľom za neoprávnený.  </w:t>
      </w:r>
    </w:p>
  </w:footnote>
  <w:footnote w:id="11">
    <w:p w14:paraId="38179924" w14:textId="77777777" w:rsidR="00CF6C88" w:rsidRPr="000C35CF" w:rsidRDefault="00CF6C88" w:rsidP="00CE09FD">
      <w:pPr>
        <w:pStyle w:val="Textpoznmkypodiarou"/>
        <w:jc w:val="both"/>
        <w:rPr>
          <w:sz w:val="16"/>
          <w:szCs w:val="16"/>
        </w:rPr>
      </w:pPr>
      <w:r w:rsidRPr="000C35CF">
        <w:rPr>
          <w:rStyle w:val="Odkaznapoznmkupodiarou"/>
          <w:sz w:val="16"/>
          <w:szCs w:val="16"/>
        </w:rPr>
        <w:footnoteRef/>
      </w:r>
      <w:r w:rsidRPr="000C35CF">
        <w:rPr>
          <w:sz w:val="16"/>
          <w:szCs w:val="16"/>
        </w:rPr>
        <w:t xml:space="preserve"> </w:t>
      </w:r>
      <w:r w:rsidRPr="000C35CF">
        <w:rPr>
          <w:rFonts w:cs="Times New Roman"/>
          <w:sz w:val="16"/>
          <w:szCs w:val="16"/>
        </w:rPr>
        <w:t xml:space="preserve">V prípade, ak žiadateľ/prijímateľ alebo niektorý z predchádzajúcich vlastníkov pozemku získal v minulosti príspevok zo všeobecného rozpočtu EÚ na nákup príslušného pozemku, potom výdavky na nákup tohto pozemku budú považované za neoprávnené. Ak poskytovateľ identifikuje pri kúpe pozemku konflikt záujmov v zmysle § 45 ods. 1 </w:t>
      </w:r>
      <w:r w:rsidRPr="000C35CF">
        <w:rPr>
          <w:sz w:val="16"/>
          <w:szCs w:val="16"/>
        </w:rPr>
        <w:t>zákona č. 121/2022 Z. z o príspevkoch z fondov Európskej únie a o zmene a doplnení niektorých zákonov</w:t>
      </w:r>
      <w:r w:rsidRPr="000C35CF">
        <w:rPr>
          <w:rFonts w:cs="Times New Roman"/>
          <w:sz w:val="16"/>
          <w:szCs w:val="16"/>
        </w:rPr>
        <w:t>, výdavky na kúpu pozemku budú neoprávnené v plnom rozsahu.</w:t>
      </w:r>
    </w:p>
  </w:footnote>
  <w:footnote w:id="12">
    <w:p w14:paraId="7C5AC6E0" w14:textId="77777777" w:rsidR="00CF6C88" w:rsidRPr="000C35CF" w:rsidRDefault="00CF6C88" w:rsidP="00CE09FD">
      <w:pPr>
        <w:pStyle w:val="Textpoznmkypodiarou"/>
        <w:jc w:val="both"/>
        <w:rPr>
          <w:sz w:val="16"/>
          <w:szCs w:val="16"/>
        </w:rPr>
      </w:pPr>
      <w:r w:rsidRPr="000C35CF">
        <w:rPr>
          <w:rStyle w:val="Odkaznapoznmkupodiarou"/>
          <w:sz w:val="16"/>
          <w:szCs w:val="16"/>
        </w:rPr>
        <w:footnoteRef/>
      </w:r>
      <w:r w:rsidRPr="000C35CF">
        <w:rPr>
          <w:sz w:val="16"/>
          <w:szCs w:val="16"/>
        </w:rPr>
        <w:t xml:space="preserve"> </w:t>
      </w:r>
      <w:r w:rsidRPr="000C35CF">
        <w:rPr>
          <w:rFonts w:cs="Times New Roman"/>
          <w:sz w:val="16"/>
          <w:szCs w:val="16"/>
        </w:rPr>
        <w:t>Do tejto triedy výdavkov sa zaraďujú hnuteľné veci s dobou použiteľnosti najviac jeden rok bez ohľadu na obstarávaciu cenu. V danej triede sa vykazuje aj hmotný majetok, ktorý nie je definovaný ako dlhodobý hmotný majetok (trieda výdavkov 02), pričom účtovná jednotka (t. j. žiadateľ/prijímateľ) postupuje v súlade so svojou internou smernicou k postupom účtovania. Všetky oprávnené výdavky zaradené do predmetnej triedy výdavkov musia spĺňať kritériá nákupu krátkodobého hmotného majetku z bežných výdavkov.</w:t>
      </w:r>
    </w:p>
  </w:footnote>
  <w:footnote w:id="13">
    <w:p w14:paraId="0A2122A1" w14:textId="2A8F447D" w:rsidR="00052846" w:rsidRPr="00F26E16" w:rsidRDefault="00052846">
      <w:pPr>
        <w:pStyle w:val="Textpoznmkypodiarou"/>
        <w:rPr>
          <w:sz w:val="16"/>
          <w:szCs w:val="16"/>
        </w:rPr>
      </w:pPr>
      <w:r w:rsidRPr="00F26E16">
        <w:rPr>
          <w:rStyle w:val="Odkaznapoznmkupodiarou"/>
          <w:sz w:val="16"/>
          <w:szCs w:val="16"/>
        </w:rPr>
        <w:footnoteRef/>
      </w:r>
      <w:r w:rsidRPr="00F26E16">
        <w:rPr>
          <w:sz w:val="16"/>
          <w:szCs w:val="16"/>
        </w:rPr>
        <w:t xml:space="preserve"> Prevzaté z rómskeho jazyka.</w:t>
      </w:r>
    </w:p>
  </w:footnote>
  <w:footnote w:id="14">
    <w:p w14:paraId="7E179EBE" w14:textId="5476D7F3" w:rsidR="00751AAA" w:rsidRPr="000C35CF" w:rsidRDefault="00751AAA">
      <w:pPr>
        <w:pStyle w:val="Textpoznmkypodiarou"/>
        <w:rPr>
          <w:sz w:val="16"/>
          <w:szCs w:val="16"/>
        </w:rPr>
      </w:pPr>
      <w:r w:rsidRPr="000C35CF">
        <w:rPr>
          <w:rStyle w:val="Odkaznapoznmkupodiarou"/>
          <w:sz w:val="16"/>
          <w:szCs w:val="16"/>
        </w:rPr>
        <w:footnoteRef/>
      </w:r>
      <w:r w:rsidRPr="000C35CF">
        <w:rPr>
          <w:sz w:val="16"/>
          <w:szCs w:val="16"/>
        </w:rPr>
        <w:t xml:space="preserve"> </w:t>
      </w:r>
      <w:r w:rsidRPr="000C35CF">
        <w:rPr>
          <w:rFonts w:cs="Times New Roman"/>
          <w:sz w:val="16"/>
          <w:szCs w:val="16"/>
        </w:rPr>
        <w:t>mimo pracovným pomerom sa rozumejú vzťahy uzatvorené v zmysle ustanovení § 223-228 zákona č. 311/2001 Z. z. Zákonníka práce v znení neskorších predpisov (t. j. dohoda o vykonaní práce, ak ide o prácu, ktorá je vymedzená výsledkom, dohoda o pracovnej činnosti, ak ide o príležitostnú činnosť vymedzenú druhom práce a dohoda o brigádnickej práci študentov).</w:t>
      </w:r>
      <w:r w:rsidRPr="00644A45">
        <w:rPr>
          <w:sz w:val="16"/>
          <w:szCs w:val="16"/>
        </w:rPr>
        <w:t xml:space="preserve"> </w:t>
      </w:r>
      <w:r w:rsidRPr="000C35CF">
        <w:rPr>
          <w:sz w:val="16"/>
          <w:szCs w:val="16"/>
        </w:rPr>
        <w:t xml:space="preserve"> </w:t>
      </w:r>
    </w:p>
  </w:footnote>
  <w:footnote w:id="15">
    <w:p w14:paraId="1D40F979" w14:textId="6822F836" w:rsidR="00B90A20" w:rsidRDefault="00B90A20">
      <w:pPr>
        <w:pStyle w:val="Textpoznmkypodiarou"/>
      </w:pPr>
      <w:ins w:id="45" w:author="Hajdin Miloš" w:date="2025-04-27T18:28:00Z" w16du:dateUtc="2025-04-27T16:28:00Z">
        <w:r w:rsidRPr="00B90A20">
          <w:rPr>
            <w:rStyle w:val="Odkaznapoznmkupodiarou"/>
            <w:sz w:val="18"/>
            <w:szCs w:val="18"/>
            <w:rPrChange w:id="46" w:author="Hajdin Miloš" w:date="2025-04-27T18:31:00Z" w16du:dateUtc="2025-04-27T16:31:00Z">
              <w:rPr>
                <w:rStyle w:val="Odkaznapoznmkupodiarou"/>
              </w:rPr>
            </w:rPrChange>
          </w:rPr>
          <w:footnoteRef/>
        </w:r>
        <w:r w:rsidRPr="00B90A20">
          <w:rPr>
            <w:sz w:val="18"/>
            <w:szCs w:val="18"/>
            <w:rPrChange w:id="47" w:author="Hajdin Miloš" w:date="2025-04-27T18:31:00Z" w16du:dateUtc="2025-04-27T16:31:00Z">
              <w:rPr/>
            </w:rPrChange>
          </w:rPr>
          <w:t xml:space="preserve"> </w:t>
        </w:r>
      </w:ins>
      <w:ins w:id="48" w:author="Hajdin Miloš" w:date="2025-04-27T18:29:00Z" w16du:dateUtc="2025-04-27T16:29:00Z">
        <w:r w:rsidRPr="00B90A20">
          <w:rPr>
            <w:sz w:val="18"/>
            <w:szCs w:val="18"/>
            <w:rPrChange w:id="49" w:author="Hajdin Miloš" w:date="2025-04-27T18:31:00Z" w16du:dateUtc="2025-04-27T16:31:00Z">
              <w:rPr/>
            </w:rPrChange>
          </w:rPr>
          <w:t xml:space="preserve">Pre výpočet paušálnej sadzby na nepriame výdavky sa postupuje nasledovne: </w:t>
        </w:r>
      </w:ins>
      <w:ins w:id="50" w:author="Hajdin Miloš" w:date="2025-04-27T18:31:00Z" w16du:dateUtc="2025-04-27T16:31:00Z">
        <w:r w:rsidRPr="00B90A20">
          <w:rPr>
            <w:rFonts w:eastAsiaTheme="majorEastAsia" w:cstheme="minorHAnsi"/>
            <w:sz w:val="18"/>
            <w:szCs w:val="18"/>
            <w:rPrChange w:id="51" w:author="Hajdin Miloš" w:date="2025-04-27T18:31:00Z" w16du:dateUtc="2025-04-27T16:31:00Z">
              <w:rPr>
                <w:rFonts w:eastAsiaTheme="majorEastAsia" w:cstheme="minorHAnsi"/>
              </w:rPr>
            </w:rPrChange>
          </w:rPr>
          <w:t>Celkové priame oprávnené výdavky (vrátane priamych oprávnených výdavkov na pozíciu asistenta bývania) sa podľa ich výšky vynásobia príslušným percentom podľa Tabuľky č. 1. Následne sa vypočítaná celková suma nepriamych výdavkov pomerne rozdelí, tak aby zodpovedala pomeru priamych oprávnených výdavkov na pozíciu asistenta bývania a zvyšným priamym oprávneným výdavkom na celkových priamych oprávnených výdavkoch.</w:t>
        </w:r>
      </w:ins>
    </w:p>
  </w:footnote>
  <w:footnote w:id="16">
    <w:p w14:paraId="42B73D92" w14:textId="77777777" w:rsidR="006464F8" w:rsidRPr="003C11D0" w:rsidRDefault="006464F8" w:rsidP="006464F8">
      <w:pPr>
        <w:pStyle w:val="Textpoznmkypodiarou"/>
        <w:jc w:val="both"/>
        <w:rPr>
          <w:sz w:val="18"/>
          <w:szCs w:val="18"/>
        </w:rPr>
      </w:pPr>
      <w:r w:rsidRPr="003C11D0">
        <w:rPr>
          <w:rStyle w:val="Odkaznapoznmkupodiarou"/>
          <w:sz w:val="18"/>
          <w:szCs w:val="18"/>
        </w:rPr>
        <w:footnoteRef/>
      </w:r>
      <w:r w:rsidRPr="003C11D0">
        <w:rPr>
          <w:sz w:val="18"/>
          <w:szCs w:val="18"/>
        </w:rPr>
        <w:t xml:space="preserve"> </w:t>
      </w:r>
      <w:r w:rsidRPr="003C11D0">
        <w:rPr>
          <w:sz w:val="18"/>
          <w:szCs w:val="18"/>
        </w:rPr>
        <w:t>Riadenie projektu vykonáva projektový personál projektu. Keďže v tejto výzve výdavky na riadenie projektu spadajú pod ZVV, pracovné pozície, finančné limity, ani žiadne ďalšie náležitosti pre projektový personál projektu poskytovateľ nestanovuje a</w:t>
      </w:r>
      <w:r>
        <w:rPr>
          <w:sz w:val="18"/>
          <w:szCs w:val="18"/>
        </w:rPr>
        <w:t> </w:t>
      </w:r>
      <w:r w:rsidRPr="003C11D0">
        <w:rPr>
          <w:sz w:val="18"/>
          <w:szCs w:val="18"/>
        </w:rPr>
        <w:t>neoveruje</w:t>
      </w:r>
      <w:r>
        <w:rPr>
          <w:sz w:val="18"/>
          <w:szCs w:val="18"/>
        </w:rPr>
        <w:t>.</w:t>
      </w:r>
    </w:p>
  </w:footnote>
  <w:footnote w:id="17">
    <w:p w14:paraId="35C2C402" w14:textId="77777777" w:rsidR="007E3A66" w:rsidRPr="003C11D0" w:rsidRDefault="007E3A66" w:rsidP="007E3A66">
      <w:pPr>
        <w:pStyle w:val="Textpoznmkypodiarou"/>
        <w:jc w:val="both"/>
        <w:rPr>
          <w:ins w:id="72" w:author="Hajdin Miloš" w:date="2025-04-07T11:10:00Z" w16du:dateUtc="2025-04-07T09:10:00Z"/>
          <w:sz w:val="18"/>
          <w:szCs w:val="18"/>
        </w:rPr>
      </w:pPr>
      <w:ins w:id="73" w:author="Hajdin Miloš" w:date="2025-04-07T11:10:00Z" w16du:dateUtc="2025-04-07T09:10:00Z">
        <w:r w:rsidRPr="003C11D0">
          <w:rPr>
            <w:rStyle w:val="Odkaznapoznmkupodiarou"/>
            <w:sz w:val="18"/>
            <w:szCs w:val="18"/>
          </w:rPr>
          <w:footnoteRef/>
        </w:r>
        <w:r w:rsidRPr="003C11D0">
          <w:rPr>
            <w:sz w:val="18"/>
            <w:szCs w:val="18"/>
          </w:rPr>
          <w:t xml:space="preserve"> </w:t>
        </w:r>
        <w:r w:rsidRPr="003C11D0">
          <w:rPr>
            <w:sz w:val="18"/>
            <w:szCs w:val="18"/>
          </w:rPr>
          <w:t>Riadenie projektu vykonáva projektový personál projektu. Keďže v tejto výzve výdavky na riadenie projektu spadajú pod ZVV, pracovné pozície, finančné limity, ani žiadne ďalšie náležitosti pre projektový personál projektu poskytovateľ nestanovuje a</w:t>
        </w:r>
        <w:r>
          <w:rPr>
            <w:sz w:val="18"/>
            <w:szCs w:val="18"/>
          </w:rPr>
          <w:t> </w:t>
        </w:r>
        <w:r w:rsidRPr="003C11D0">
          <w:rPr>
            <w:sz w:val="18"/>
            <w:szCs w:val="18"/>
          </w:rPr>
          <w:t>neoveruje</w:t>
        </w:r>
        <w:r>
          <w:rPr>
            <w:sz w:val="18"/>
            <w:szCs w:val="18"/>
          </w:rPr>
          <w:t>.</w:t>
        </w:r>
      </w:ins>
    </w:p>
  </w:footnote>
  <w:footnote w:id="18">
    <w:p w14:paraId="2A5573E9" w14:textId="77777777" w:rsidR="007E3A66" w:rsidRPr="00674889" w:rsidRDefault="007E3A66" w:rsidP="00CE09FD">
      <w:pPr>
        <w:pStyle w:val="Textpoznmkypodiarou"/>
        <w:jc w:val="both"/>
        <w:rPr>
          <w:sz w:val="18"/>
          <w:szCs w:val="18"/>
        </w:rPr>
      </w:pPr>
      <w:r w:rsidRPr="00674889">
        <w:rPr>
          <w:rStyle w:val="Odkaznapoznmkupodiarou"/>
          <w:sz w:val="18"/>
          <w:szCs w:val="18"/>
        </w:rPr>
        <w:footnoteRef/>
      </w:r>
      <w:r w:rsidRPr="00674889">
        <w:rPr>
          <w:sz w:val="18"/>
          <w:szCs w:val="18"/>
        </w:rPr>
        <w:t xml:space="preserve"> Ide o celkovú výšku výdavku „stavebné práce“, resp. súčet viacerých výdavkov „stavebné práce“, </w:t>
      </w:r>
      <w:r w:rsidRPr="00837B58">
        <w:rPr>
          <w:sz w:val="18"/>
          <w:szCs w:val="18"/>
        </w:rPr>
        <w:t>be</w:t>
      </w:r>
      <w:r w:rsidRPr="00674889">
        <w:rPr>
          <w:b/>
          <w:bCs/>
          <w:sz w:val="18"/>
          <w:szCs w:val="18"/>
        </w:rPr>
        <w:t>z</w:t>
      </w:r>
      <w:r w:rsidRPr="00674889">
        <w:rPr>
          <w:sz w:val="18"/>
          <w:szCs w:val="18"/>
        </w:rPr>
        <w:t xml:space="preserve"> výdavkov na prípravnú a projektovú dokumentáciu, stavebný dozor a ďalších stavebných výdavkov, ktoré sa rovnako zaraďujú do skupiny výdavkov 021 - Stavby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D3CBE" w14:textId="52EAAA7E" w:rsidR="00CF6C88" w:rsidRDefault="000136BA" w:rsidP="00CF6C88">
    <w:pPr>
      <w:pStyle w:val="Hlavika"/>
      <w:jc w:val="center"/>
    </w:pPr>
    <w:r>
      <w:rPr>
        <w:noProof/>
        <w:lang w:eastAsia="sk-SK"/>
        <w14:ligatures w14:val="none"/>
      </w:rPr>
      <w:drawing>
        <wp:inline distT="0" distB="0" distL="0" distR="0" wp14:anchorId="0F9B8569" wp14:editId="303F4FF8">
          <wp:extent cx="5799661" cy="434556"/>
          <wp:effectExtent l="0" t="0" r="0" b="381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 Hlavic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0373" cy="445099"/>
                  </a:xfrm>
                  <a:prstGeom prst="rect">
                    <a:avLst/>
                  </a:prstGeom>
                </pic:spPr>
              </pic:pic>
            </a:graphicData>
          </a:graphic>
        </wp:inline>
      </w:drawing>
    </w:r>
  </w:p>
  <w:p w14:paraId="60DFEA9C" w14:textId="706CF4B3" w:rsidR="006634E4" w:rsidRDefault="006634E4" w:rsidP="006634E4">
    <w:pPr>
      <w:pStyle w:val="Hlavika"/>
      <w:jc w:val="right"/>
      <w:rPr>
        <w:rFonts w:cstheme="minorHAnsi"/>
      </w:rPr>
    </w:pPr>
    <w:r w:rsidRPr="006634E4">
      <w:rPr>
        <w:rFonts w:cstheme="minorHAnsi"/>
      </w:rPr>
      <w:t>Príloha č.</w:t>
    </w:r>
    <w:r w:rsidR="008E6ED0">
      <w:rPr>
        <w:rFonts w:cstheme="minorHAnsi"/>
      </w:rPr>
      <w:t xml:space="preserve"> </w:t>
    </w:r>
    <w:r w:rsidR="004A66A7">
      <w:rPr>
        <w:rFonts w:cstheme="minorHAnsi"/>
      </w:rPr>
      <w:t>3</w:t>
    </w:r>
    <w:r w:rsidRPr="006634E4">
      <w:rPr>
        <w:rFonts w:cstheme="minorHAnsi"/>
      </w:rPr>
      <w:t xml:space="preserve">  výzvy – Zoznam oprávnených výdavkov</w:t>
    </w:r>
  </w:p>
  <w:p w14:paraId="2855046C" w14:textId="77777777" w:rsidR="00401177" w:rsidRPr="006634E4" w:rsidRDefault="00401177" w:rsidP="006634E4">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7F9C"/>
    <w:multiLevelType w:val="hybridMultilevel"/>
    <w:tmpl w:val="B874DCE2"/>
    <w:lvl w:ilvl="0" w:tplc="21B45EFC">
      <w:start w:val="1"/>
      <w:numFmt w:val="bullet"/>
      <w:lvlText w:val=""/>
      <w:lvlJc w:val="left"/>
      <w:pPr>
        <w:ind w:left="567" w:hanging="397"/>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7C20FA"/>
    <w:multiLevelType w:val="hybridMultilevel"/>
    <w:tmpl w:val="35C06756"/>
    <w:lvl w:ilvl="0" w:tplc="A83A463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19580F"/>
    <w:multiLevelType w:val="hybridMultilevel"/>
    <w:tmpl w:val="1DE89CF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AE1127"/>
    <w:multiLevelType w:val="hybridMultilevel"/>
    <w:tmpl w:val="70829832"/>
    <w:lvl w:ilvl="0" w:tplc="041B0001">
      <w:start w:val="1"/>
      <w:numFmt w:val="bullet"/>
      <w:lvlText w:val=""/>
      <w:lvlJc w:val="left"/>
      <w:pPr>
        <w:ind w:left="740" w:hanging="360"/>
      </w:pPr>
      <w:rPr>
        <w:rFonts w:ascii="Symbol" w:hAnsi="Symbol" w:hint="default"/>
      </w:rPr>
    </w:lvl>
    <w:lvl w:ilvl="1" w:tplc="041B0003" w:tentative="1">
      <w:start w:val="1"/>
      <w:numFmt w:val="bullet"/>
      <w:lvlText w:val="o"/>
      <w:lvlJc w:val="left"/>
      <w:pPr>
        <w:ind w:left="1460" w:hanging="360"/>
      </w:pPr>
      <w:rPr>
        <w:rFonts w:ascii="Courier New" w:hAnsi="Courier New" w:cs="Courier New" w:hint="default"/>
      </w:rPr>
    </w:lvl>
    <w:lvl w:ilvl="2" w:tplc="041B0005" w:tentative="1">
      <w:start w:val="1"/>
      <w:numFmt w:val="bullet"/>
      <w:lvlText w:val=""/>
      <w:lvlJc w:val="left"/>
      <w:pPr>
        <w:ind w:left="2180" w:hanging="360"/>
      </w:pPr>
      <w:rPr>
        <w:rFonts w:ascii="Wingdings" w:hAnsi="Wingdings" w:hint="default"/>
      </w:rPr>
    </w:lvl>
    <w:lvl w:ilvl="3" w:tplc="041B0001" w:tentative="1">
      <w:start w:val="1"/>
      <w:numFmt w:val="bullet"/>
      <w:lvlText w:val=""/>
      <w:lvlJc w:val="left"/>
      <w:pPr>
        <w:ind w:left="2900" w:hanging="360"/>
      </w:pPr>
      <w:rPr>
        <w:rFonts w:ascii="Symbol" w:hAnsi="Symbol" w:hint="default"/>
      </w:rPr>
    </w:lvl>
    <w:lvl w:ilvl="4" w:tplc="041B0003" w:tentative="1">
      <w:start w:val="1"/>
      <w:numFmt w:val="bullet"/>
      <w:lvlText w:val="o"/>
      <w:lvlJc w:val="left"/>
      <w:pPr>
        <w:ind w:left="3620" w:hanging="360"/>
      </w:pPr>
      <w:rPr>
        <w:rFonts w:ascii="Courier New" w:hAnsi="Courier New" w:cs="Courier New" w:hint="default"/>
      </w:rPr>
    </w:lvl>
    <w:lvl w:ilvl="5" w:tplc="041B0005" w:tentative="1">
      <w:start w:val="1"/>
      <w:numFmt w:val="bullet"/>
      <w:lvlText w:val=""/>
      <w:lvlJc w:val="left"/>
      <w:pPr>
        <w:ind w:left="4340" w:hanging="360"/>
      </w:pPr>
      <w:rPr>
        <w:rFonts w:ascii="Wingdings" w:hAnsi="Wingdings" w:hint="default"/>
      </w:rPr>
    </w:lvl>
    <w:lvl w:ilvl="6" w:tplc="041B0001" w:tentative="1">
      <w:start w:val="1"/>
      <w:numFmt w:val="bullet"/>
      <w:lvlText w:val=""/>
      <w:lvlJc w:val="left"/>
      <w:pPr>
        <w:ind w:left="5060" w:hanging="360"/>
      </w:pPr>
      <w:rPr>
        <w:rFonts w:ascii="Symbol" w:hAnsi="Symbol" w:hint="default"/>
      </w:rPr>
    </w:lvl>
    <w:lvl w:ilvl="7" w:tplc="041B0003" w:tentative="1">
      <w:start w:val="1"/>
      <w:numFmt w:val="bullet"/>
      <w:lvlText w:val="o"/>
      <w:lvlJc w:val="left"/>
      <w:pPr>
        <w:ind w:left="5780" w:hanging="360"/>
      </w:pPr>
      <w:rPr>
        <w:rFonts w:ascii="Courier New" w:hAnsi="Courier New" w:cs="Courier New" w:hint="default"/>
      </w:rPr>
    </w:lvl>
    <w:lvl w:ilvl="8" w:tplc="041B0005" w:tentative="1">
      <w:start w:val="1"/>
      <w:numFmt w:val="bullet"/>
      <w:lvlText w:val=""/>
      <w:lvlJc w:val="left"/>
      <w:pPr>
        <w:ind w:left="6500" w:hanging="360"/>
      </w:pPr>
      <w:rPr>
        <w:rFonts w:ascii="Wingdings" w:hAnsi="Wingdings" w:hint="default"/>
      </w:rPr>
    </w:lvl>
  </w:abstractNum>
  <w:abstractNum w:abstractNumId="4" w15:restartNumberingAfterBreak="0">
    <w:nsid w:val="136C3C0E"/>
    <w:multiLevelType w:val="hybridMultilevel"/>
    <w:tmpl w:val="3702A8F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380EB2"/>
    <w:multiLevelType w:val="hybridMultilevel"/>
    <w:tmpl w:val="CA70BE2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6F8644D"/>
    <w:multiLevelType w:val="hybridMultilevel"/>
    <w:tmpl w:val="F676D8E2"/>
    <w:lvl w:ilvl="0" w:tplc="FB602DB6">
      <w:start w:val="1"/>
      <w:numFmt w:val="upperLetter"/>
      <w:lvlText w:val="%1)"/>
      <w:lvlJc w:val="left"/>
      <w:pPr>
        <w:ind w:left="720" w:hanging="360"/>
      </w:pPr>
      <w:rPr>
        <w:rFonts w:asciiTheme="minorHAnsi" w:hAnsiTheme="minorHAnsi" w:cstheme="minorBidi"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EB0414"/>
    <w:multiLevelType w:val="hybridMultilevel"/>
    <w:tmpl w:val="3CE81BFA"/>
    <w:lvl w:ilvl="0" w:tplc="F0B2A5F6">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D0170B6"/>
    <w:multiLevelType w:val="hybridMultilevel"/>
    <w:tmpl w:val="F44470AE"/>
    <w:lvl w:ilvl="0" w:tplc="F7C2808C">
      <w:numFmt w:val="bullet"/>
      <w:lvlText w:val=""/>
      <w:lvlJc w:val="left"/>
      <w:pPr>
        <w:ind w:left="720" w:hanging="360"/>
      </w:pPr>
      <w:rPr>
        <w:rFonts w:ascii="Symbol" w:eastAsiaTheme="majorEastAsia" w:hAnsi="Symbol"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D8B0981"/>
    <w:multiLevelType w:val="hybridMultilevel"/>
    <w:tmpl w:val="815E78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E4D1720"/>
    <w:multiLevelType w:val="hybridMultilevel"/>
    <w:tmpl w:val="C6842C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181D88"/>
    <w:multiLevelType w:val="hybridMultilevel"/>
    <w:tmpl w:val="CA20C7A2"/>
    <w:lvl w:ilvl="0" w:tplc="DA8CBF62">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FC142C8"/>
    <w:multiLevelType w:val="hybridMultilevel"/>
    <w:tmpl w:val="64C2DAFE"/>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3" w15:restartNumberingAfterBreak="0">
    <w:nsid w:val="31182A17"/>
    <w:multiLevelType w:val="hybridMultilevel"/>
    <w:tmpl w:val="157A52EE"/>
    <w:lvl w:ilvl="0" w:tplc="1E12D85E">
      <w:start w:val="1"/>
      <w:numFmt w:val="upperLetter"/>
      <w:lvlText w:val="%1)"/>
      <w:lvlJc w:val="left"/>
      <w:pPr>
        <w:ind w:left="720" w:hanging="360"/>
      </w:pPr>
      <w:rPr>
        <w:rFonts w:asciiTheme="majorHAnsi" w:hAnsiTheme="majorHAnsi" w:cstheme="majorHAnsi" w:hint="default"/>
        <w:b/>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B75A96"/>
    <w:multiLevelType w:val="hybridMultilevel"/>
    <w:tmpl w:val="F0D24E5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E23D5F"/>
    <w:multiLevelType w:val="hybridMultilevel"/>
    <w:tmpl w:val="778A5088"/>
    <w:lvl w:ilvl="0" w:tplc="30F20844">
      <w:start w:val="4"/>
      <w:numFmt w:val="upp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3E114D2F"/>
    <w:multiLevelType w:val="hybridMultilevel"/>
    <w:tmpl w:val="FF1693C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3243D8"/>
    <w:multiLevelType w:val="hybridMultilevel"/>
    <w:tmpl w:val="F91672B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F966F3C"/>
    <w:multiLevelType w:val="hybridMultilevel"/>
    <w:tmpl w:val="1FD2465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462ADC"/>
    <w:multiLevelType w:val="hybridMultilevel"/>
    <w:tmpl w:val="C998564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8626241"/>
    <w:multiLevelType w:val="hybridMultilevel"/>
    <w:tmpl w:val="BB229DE2"/>
    <w:lvl w:ilvl="0" w:tplc="EA06A0D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86C5FEA"/>
    <w:multiLevelType w:val="hybridMultilevel"/>
    <w:tmpl w:val="DFD8E5D2"/>
    <w:lvl w:ilvl="0" w:tplc="041B0001">
      <w:start w:val="1"/>
      <w:numFmt w:val="bullet"/>
      <w:lvlText w:val=""/>
      <w:lvlJc w:val="left"/>
      <w:pPr>
        <w:ind w:left="740" w:hanging="360"/>
      </w:pPr>
      <w:rPr>
        <w:rFonts w:ascii="Symbol" w:hAnsi="Symbol" w:hint="default"/>
      </w:rPr>
    </w:lvl>
    <w:lvl w:ilvl="1" w:tplc="041B0003" w:tentative="1">
      <w:start w:val="1"/>
      <w:numFmt w:val="bullet"/>
      <w:lvlText w:val="o"/>
      <w:lvlJc w:val="left"/>
      <w:pPr>
        <w:ind w:left="1460" w:hanging="360"/>
      </w:pPr>
      <w:rPr>
        <w:rFonts w:ascii="Courier New" w:hAnsi="Courier New" w:cs="Courier New" w:hint="default"/>
      </w:rPr>
    </w:lvl>
    <w:lvl w:ilvl="2" w:tplc="041B0005" w:tentative="1">
      <w:start w:val="1"/>
      <w:numFmt w:val="bullet"/>
      <w:lvlText w:val=""/>
      <w:lvlJc w:val="left"/>
      <w:pPr>
        <w:ind w:left="2180" w:hanging="360"/>
      </w:pPr>
      <w:rPr>
        <w:rFonts w:ascii="Wingdings" w:hAnsi="Wingdings" w:hint="default"/>
      </w:rPr>
    </w:lvl>
    <w:lvl w:ilvl="3" w:tplc="041B0001" w:tentative="1">
      <w:start w:val="1"/>
      <w:numFmt w:val="bullet"/>
      <w:lvlText w:val=""/>
      <w:lvlJc w:val="left"/>
      <w:pPr>
        <w:ind w:left="2900" w:hanging="360"/>
      </w:pPr>
      <w:rPr>
        <w:rFonts w:ascii="Symbol" w:hAnsi="Symbol" w:hint="default"/>
      </w:rPr>
    </w:lvl>
    <w:lvl w:ilvl="4" w:tplc="041B0003" w:tentative="1">
      <w:start w:val="1"/>
      <w:numFmt w:val="bullet"/>
      <w:lvlText w:val="o"/>
      <w:lvlJc w:val="left"/>
      <w:pPr>
        <w:ind w:left="3620" w:hanging="360"/>
      </w:pPr>
      <w:rPr>
        <w:rFonts w:ascii="Courier New" w:hAnsi="Courier New" w:cs="Courier New" w:hint="default"/>
      </w:rPr>
    </w:lvl>
    <w:lvl w:ilvl="5" w:tplc="041B0005" w:tentative="1">
      <w:start w:val="1"/>
      <w:numFmt w:val="bullet"/>
      <w:lvlText w:val=""/>
      <w:lvlJc w:val="left"/>
      <w:pPr>
        <w:ind w:left="4340" w:hanging="360"/>
      </w:pPr>
      <w:rPr>
        <w:rFonts w:ascii="Wingdings" w:hAnsi="Wingdings" w:hint="default"/>
      </w:rPr>
    </w:lvl>
    <w:lvl w:ilvl="6" w:tplc="041B0001" w:tentative="1">
      <w:start w:val="1"/>
      <w:numFmt w:val="bullet"/>
      <w:lvlText w:val=""/>
      <w:lvlJc w:val="left"/>
      <w:pPr>
        <w:ind w:left="5060" w:hanging="360"/>
      </w:pPr>
      <w:rPr>
        <w:rFonts w:ascii="Symbol" w:hAnsi="Symbol" w:hint="default"/>
      </w:rPr>
    </w:lvl>
    <w:lvl w:ilvl="7" w:tplc="041B0003" w:tentative="1">
      <w:start w:val="1"/>
      <w:numFmt w:val="bullet"/>
      <w:lvlText w:val="o"/>
      <w:lvlJc w:val="left"/>
      <w:pPr>
        <w:ind w:left="5780" w:hanging="360"/>
      </w:pPr>
      <w:rPr>
        <w:rFonts w:ascii="Courier New" w:hAnsi="Courier New" w:cs="Courier New" w:hint="default"/>
      </w:rPr>
    </w:lvl>
    <w:lvl w:ilvl="8" w:tplc="041B0005" w:tentative="1">
      <w:start w:val="1"/>
      <w:numFmt w:val="bullet"/>
      <w:lvlText w:val=""/>
      <w:lvlJc w:val="left"/>
      <w:pPr>
        <w:ind w:left="6500" w:hanging="360"/>
      </w:pPr>
      <w:rPr>
        <w:rFonts w:ascii="Wingdings" w:hAnsi="Wingdings" w:hint="default"/>
      </w:rPr>
    </w:lvl>
  </w:abstractNum>
  <w:abstractNum w:abstractNumId="22" w15:restartNumberingAfterBreak="0">
    <w:nsid w:val="63BD235D"/>
    <w:multiLevelType w:val="hybridMultilevel"/>
    <w:tmpl w:val="E0C2312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7CE2941"/>
    <w:multiLevelType w:val="hybridMultilevel"/>
    <w:tmpl w:val="50C4FE1C"/>
    <w:lvl w:ilvl="0" w:tplc="E1308706">
      <w:start w:val="1"/>
      <w:numFmt w:val="upperLetter"/>
      <w:lvlText w:val="%1)"/>
      <w:lvlJc w:val="left"/>
      <w:pPr>
        <w:ind w:left="720" w:hanging="360"/>
      </w:pPr>
      <w:rPr>
        <w:rFonts w:hint="default"/>
        <w:color w:val="0563C1"/>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AAB7087"/>
    <w:multiLevelType w:val="hybridMultilevel"/>
    <w:tmpl w:val="B81C8828"/>
    <w:lvl w:ilvl="0" w:tplc="BBDEB6A0">
      <w:start w:val="120"/>
      <w:numFmt w:val="decimal"/>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C605BAE"/>
    <w:multiLevelType w:val="hybridMultilevel"/>
    <w:tmpl w:val="77243D7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F5F5385"/>
    <w:multiLevelType w:val="hybridMultilevel"/>
    <w:tmpl w:val="ECD43B3A"/>
    <w:lvl w:ilvl="0" w:tplc="3E582AE4">
      <w:numFmt w:val="bullet"/>
      <w:lvlText w:val=""/>
      <w:lvlJc w:val="left"/>
      <w:pPr>
        <w:ind w:left="720" w:hanging="360"/>
      </w:pPr>
      <w:rPr>
        <w:rFonts w:ascii="Symbol" w:eastAsiaTheme="majorEastAsia" w:hAnsi="Symbol"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0C17F30"/>
    <w:multiLevelType w:val="hybridMultilevel"/>
    <w:tmpl w:val="4BECFA0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31705AB"/>
    <w:multiLevelType w:val="hybridMultilevel"/>
    <w:tmpl w:val="3D00733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67C3FBC"/>
    <w:multiLevelType w:val="hybridMultilevel"/>
    <w:tmpl w:val="B530696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8342C74"/>
    <w:multiLevelType w:val="hybridMultilevel"/>
    <w:tmpl w:val="BE5A1256"/>
    <w:lvl w:ilvl="0" w:tplc="4F9A2CEC">
      <w:start w:val="120"/>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A4C0B88"/>
    <w:multiLevelType w:val="hybridMultilevel"/>
    <w:tmpl w:val="1DB8A1DE"/>
    <w:lvl w:ilvl="0" w:tplc="AA5CF5E6">
      <w:start w:val="1"/>
      <w:numFmt w:val="upperLetter"/>
      <w:lvlText w:val="%1)"/>
      <w:lvlJc w:val="left"/>
      <w:pPr>
        <w:ind w:left="405" w:hanging="360"/>
      </w:pPr>
      <w:rPr>
        <w:rFonts w:hint="default"/>
        <w:color w:val="0563C1"/>
        <w:u w:val="single"/>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32" w15:restartNumberingAfterBreak="0">
    <w:nsid w:val="7B287B83"/>
    <w:multiLevelType w:val="hybridMultilevel"/>
    <w:tmpl w:val="5B94A1A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DED4CB9"/>
    <w:multiLevelType w:val="hybridMultilevel"/>
    <w:tmpl w:val="8D86BA7A"/>
    <w:lvl w:ilvl="0" w:tplc="1700DBFA">
      <w:start w:val="4"/>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16cid:durableId="31419945">
    <w:abstractNumId w:val="29"/>
  </w:num>
  <w:num w:numId="2" w16cid:durableId="122044581">
    <w:abstractNumId w:val="5"/>
  </w:num>
  <w:num w:numId="3" w16cid:durableId="1468858705">
    <w:abstractNumId w:val="2"/>
  </w:num>
  <w:num w:numId="4" w16cid:durableId="228154338">
    <w:abstractNumId w:val="27"/>
  </w:num>
  <w:num w:numId="5" w16cid:durableId="1946762067">
    <w:abstractNumId w:val="22"/>
  </w:num>
  <w:num w:numId="6" w16cid:durableId="2065449760">
    <w:abstractNumId w:val="10"/>
  </w:num>
  <w:num w:numId="7" w16cid:durableId="554704979">
    <w:abstractNumId w:val="25"/>
  </w:num>
  <w:num w:numId="8" w16cid:durableId="1159879462">
    <w:abstractNumId w:val="16"/>
  </w:num>
  <w:num w:numId="9" w16cid:durableId="721170011">
    <w:abstractNumId w:val="14"/>
  </w:num>
  <w:num w:numId="10" w16cid:durableId="1629894232">
    <w:abstractNumId w:val="32"/>
  </w:num>
  <w:num w:numId="11" w16cid:durableId="800153382">
    <w:abstractNumId w:val="4"/>
  </w:num>
  <w:num w:numId="12" w16cid:durableId="2109042141">
    <w:abstractNumId w:val="28"/>
  </w:num>
  <w:num w:numId="13" w16cid:durableId="381558469">
    <w:abstractNumId w:val="19"/>
  </w:num>
  <w:num w:numId="14" w16cid:durableId="2004383285">
    <w:abstractNumId w:val="31"/>
  </w:num>
  <w:num w:numId="15" w16cid:durableId="257445598">
    <w:abstractNumId w:val="1"/>
  </w:num>
  <w:num w:numId="16" w16cid:durableId="487789144">
    <w:abstractNumId w:val="6"/>
  </w:num>
  <w:num w:numId="17" w16cid:durableId="708455306">
    <w:abstractNumId w:val="13"/>
  </w:num>
  <w:num w:numId="18" w16cid:durableId="161896443">
    <w:abstractNumId w:val="7"/>
  </w:num>
  <w:num w:numId="19" w16cid:durableId="1711370084">
    <w:abstractNumId w:val="8"/>
  </w:num>
  <w:num w:numId="20" w16cid:durableId="1829978237">
    <w:abstractNumId w:val="26"/>
  </w:num>
  <w:num w:numId="21" w16cid:durableId="24139498">
    <w:abstractNumId w:val="18"/>
  </w:num>
  <w:num w:numId="22" w16cid:durableId="910652881">
    <w:abstractNumId w:val="30"/>
  </w:num>
  <w:num w:numId="23" w16cid:durableId="1637027987">
    <w:abstractNumId w:val="33"/>
  </w:num>
  <w:num w:numId="24" w16cid:durableId="1272013821">
    <w:abstractNumId w:val="15"/>
  </w:num>
  <w:num w:numId="25" w16cid:durableId="123738557">
    <w:abstractNumId w:val="17"/>
  </w:num>
  <w:num w:numId="26" w16cid:durableId="1238393910">
    <w:abstractNumId w:val="20"/>
  </w:num>
  <w:num w:numId="27" w16cid:durableId="488332682">
    <w:abstractNumId w:val="23"/>
  </w:num>
  <w:num w:numId="28" w16cid:durableId="275913281">
    <w:abstractNumId w:val="24"/>
  </w:num>
  <w:num w:numId="29" w16cid:durableId="36979240">
    <w:abstractNumId w:val="0"/>
  </w:num>
  <w:num w:numId="30" w16cid:durableId="757943914">
    <w:abstractNumId w:val="3"/>
  </w:num>
  <w:num w:numId="31" w16cid:durableId="1985692626">
    <w:abstractNumId w:val="21"/>
  </w:num>
  <w:num w:numId="32" w16cid:durableId="1775595790">
    <w:abstractNumId w:val="12"/>
  </w:num>
  <w:num w:numId="33" w16cid:durableId="1246380670">
    <w:abstractNumId w:val="9"/>
  </w:num>
  <w:num w:numId="34" w16cid:durableId="129132736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jdin Miloš">
    <w15:presenceInfo w15:providerId="AD" w15:userId="S::milos.hajdin@vlada.gov.sk::759f1be0-e977-43c1-ac05-b2a2fc5a7145"/>
  </w15:person>
  <w15:person w15:author="Mikuška Matej">
    <w15:presenceInfo w15:providerId="AD" w15:userId="S::matej.mikuska@vlada.gov.sk::377f7b93-7907-497b-ba9f-c0d824f190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9FD"/>
    <w:rsid w:val="0000698A"/>
    <w:rsid w:val="000136BA"/>
    <w:rsid w:val="0002296F"/>
    <w:rsid w:val="000315DD"/>
    <w:rsid w:val="00032379"/>
    <w:rsid w:val="00032681"/>
    <w:rsid w:val="00037442"/>
    <w:rsid w:val="00052846"/>
    <w:rsid w:val="00056365"/>
    <w:rsid w:val="000B5FDB"/>
    <w:rsid w:val="000C35CF"/>
    <w:rsid w:val="000E067D"/>
    <w:rsid w:val="00141F36"/>
    <w:rsid w:val="00155AAE"/>
    <w:rsid w:val="00166CA2"/>
    <w:rsid w:val="00182FCA"/>
    <w:rsid w:val="001A020D"/>
    <w:rsid w:val="001A5089"/>
    <w:rsid w:val="001B3A10"/>
    <w:rsid w:val="001C7452"/>
    <w:rsid w:val="001D4A5A"/>
    <w:rsid w:val="001D6047"/>
    <w:rsid w:val="001E16D8"/>
    <w:rsid w:val="00201D4C"/>
    <w:rsid w:val="0020634B"/>
    <w:rsid w:val="002126F1"/>
    <w:rsid w:val="002207CF"/>
    <w:rsid w:val="002B4EC2"/>
    <w:rsid w:val="002C4F82"/>
    <w:rsid w:val="002D1027"/>
    <w:rsid w:val="002D7460"/>
    <w:rsid w:val="002E3522"/>
    <w:rsid w:val="002E6F9A"/>
    <w:rsid w:val="002F01B5"/>
    <w:rsid w:val="003236EE"/>
    <w:rsid w:val="00326801"/>
    <w:rsid w:val="00336645"/>
    <w:rsid w:val="003457FB"/>
    <w:rsid w:val="00354C3D"/>
    <w:rsid w:val="00357324"/>
    <w:rsid w:val="00383501"/>
    <w:rsid w:val="003A0381"/>
    <w:rsid w:val="003D1CE3"/>
    <w:rsid w:val="003E0FDA"/>
    <w:rsid w:val="00401177"/>
    <w:rsid w:val="004019E4"/>
    <w:rsid w:val="0042209E"/>
    <w:rsid w:val="004508A3"/>
    <w:rsid w:val="0046008E"/>
    <w:rsid w:val="00461072"/>
    <w:rsid w:val="004712A9"/>
    <w:rsid w:val="004839DE"/>
    <w:rsid w:val="0049315C"/>
    <w:rsid w:val="00497E5D"/>
    <w:rsid w:val="004A66A7"/>
    <w:rsid w:val="004D2E66"/>
    <w:rsid w:val="00500304"/>
    <w:rsid w:val="00516868"/>
    <w:rsid w:val="005610BE"/>
    <w:rsid w:val="00586215"/>
    <w:rsid w:val="00591D29"/>
    <w:rsid w:val="005B1DB0"/>
    <w:rsid w:val="005D0E9A"/>
    <w:rsid w:val="005E238B"/>
    <w:rsid w:val="005E3274"/>
    <w:rsid w:val="005E649A"/>
    <w:rsid w:val="00613E84"/>
    <w:rsid w:val="00615315"/>
    <w:rsid w:val="00640B12"/>
    <w:rsid w:val="00644A45"/>
    <w:rsid w:val="006464F8"/>
    <w:rsid w:val="00655A0A"/>
    <w:rsid w:val="00656164"/>
    <w:rsid w:val="006619BF"/>
    <w:rsid w:val="006634E4"/>
    <w:rsid w:val="00665E65"/>
    <w:rsid w:val="006747F8"/>
    <w:rsid w:val="00682118"/>
    <w:rsid w:val="00682C89"/>
    <w:rsid w:val="006A7658"/>
    <w:rsid w:val="006B4DF7"/>
    <w:rsid w:val="006D03D5"/>
    <w:rsid w:val="006D2DF7"/>
    <w:rsid w:val="00730733"/>
    <w:rsid w:val="00751AAA"/>
    <w:rsid w:val="00793307"/>
    <w:rsid w:val="007B563D"/>
    <w:rsid w:val="007E3A66"/>
    <w:rsid w:val="007F4AB4"/>
    <w:rsid w:val="00803130"/>
    <w:rsid w:val="0080578D"/>
    <w:rsid w:val="00823783"/>
    <w:rsid w:val="00824C86"/>
    <w:rsid w:val="00830A02"/>
    <w:rsid w:val="008546B3"/>
    <w:rsid w:val="00875BB3"/>
    <w:rsid w:val="00876D39"/>
    <w:rsid w:val="00887B0E"/>
    <w:rsid w:val="008A463F"/>
    <w:rsid w:val="008C2F5E"/>
    <w:rsid w:val="008D2CAA"/>
    <w:rsid w:val="008E4F73"/>
    <w:rsid w:val="008E6ED0"/>
    <w:rsid w:val="008F5C7C"/>
    <w:rsid w:val="008F6012"/>
    <w:rsid w:val="00901018"/>
    <w:rsid w:val="0091085C"/>
    <w:rsid w:val="00925412"/>
    <w:rsid w:val="009327F4"/>
    <w:rsid w:val="009514CA"/>
    <w:rsid w:val="0095533F"/>
    <w:rsid w:val="00955435"/>
    <w:rsid w:val="00965342"/>
    <w:rsid w:val="00976233"/>
    <w:rsid w:val="00990AC0"/>
    <w:rsid w:val="00992FE4"/>
    <w:rsid w:val="009B5616"/>
    <w:rsid w:val="00A11218"/>
    <w:rsid w:val="00A24D61"/>
    <w:rsid w:val="00A4686F"/>
    <w:rsid w:val="00A839C0"/>
    <w:rsid w:val="00A90053"/>
    <w:rsid w:val="00A93EB1"/>
    <w:rsid w:val="00B11E48"/>
    <w:rsid w:val="00B237C0"/>
    <w:rsid w:val="00B409A9"/>
    <w:rsid w:val="00B501B7"/>
    <w:rsid w:val="00B83008"/>
    <w:rsid w:val="00B90A20"/>
    <w:rsid w:val="00B95EA9"/>
    <w:rsid w:val="00BB5588"/>
    <w:rsid w:val="00BB6837"/>
    <w:rsid w:val="00BC4863"/>
    <w:rsid w:val="00BD37AB"/>
    <w:rsid w:val="00BF67E4"/>
    <w:rsid w:val="00C13453"/>
    <w:rsid w:val="00C14020"/>
    <w:rsid w:val="00C26B82"/>
    <w:rsid w:val="00C353D2"/>
    <w:rsid w:val="00C366FC"/>
    <w:rsid w:val="00C43D1C"/>
    <w:rsid w:val="00C56505"/>
    <w:rsid w:val="00C77B44"/>
    <w:rsid w:val="00CC40EF"/>
    <w:rsid w:val="00CE09FD"/>
    <w:rsid w:val="00CF6C88"/>
    <w:rsid w:val="00D1209C"/>
    <w:rsid w:val="00D12CEE"/>
    <w:rsid w:val="00D47989"/>
    <w:rsid w:val="00D63A1E"/>
    <w:rsid w:val="00DC3E7F"/>
    <w:rsid w:val="00DD3CAF"/>
    <w:rsid w:val="00DD799F"/>
    <w:rsid w:val="00DE1F27"/>
    <w:rsid w:val="00DE5A1F"/>
    <w:rsid w:val="00E3133D"/>
    <w:rsid w:val="00E6288A"/>
    <w:rsid w:val="00E67B57"/>
    <w:rsid w:val="00E81BBD"/>
    <w:rsid w:val="00E82C99"/>
    <w:rsid w:val="00E85868"/>
    <w:rsid w:val="00E95B4A"/>
    <w:rsid w:val="00EA50C6"/>
    <w:rsid w:val="00EA6A7E"/>
    <w:rsid w:val="00EB1CF8"/>
    <w:rsid w:val="00EC01B6"/>
    <w:rsid w:val="00EC39A4"/>
    <w:rsid w:val="00F05015"/>
    <w:rsid w:val="00F26E16"/>
    <w:rsid w:val="00F46C71"/>
    <w:rsid w:val="00F51715"/>
    <w:rsid w:val="00F56372"/>
    <w:rsid w:val="00F71194"/>
    <w:rsid w:val="00F715CC"/>
    <w:rsid w:val="00FA2678"/>
    <w:rsid w:val="00FC3520"/>
    <w:rsid w:val="00FC6103"/>
    <w:rsid w:val="00FF7A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4F6371"/>
  <w15:chartTrackingRefBased/>
  <w15:docId w15:val="{0402D12A-F53E-4D0A-8CB9-A74CE3EA2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5B4A"/>
    <w:rPr>
      <w:kern w:val="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E09FD"/>
    <w:rPr>
      <w:color w:val="0563C1"/>
      <w:u w:val="single"/>
    </w:rPr>
  </w:style>
  <w:style w:type="paragraph" w:customStyle="1" w:styleId="Default">
    <w:name w:val="Default"/>
    <w:rsid w:val="00CE09FD"/>
    <w:pPr>
      <w:autoSpaceDE w:val="0"/>
      <w:autoSpaceDN w:val="0"/>
      <w:adjustRightInd w:val="0"/>
      <w:spacing w:after="0" w:line="240" w:lineRule="auto"/>
    </w:pPr>
    <w:rPr>
      <w:rFonts w:ascii="Calibri" w:hAnsi="Calibri" w:cs="Calibri"/>
      <w:color w:val="000000"/>
      <w:sz w:val="24"/>
      <w:szCs w:val="24"/>
      <w14:ligatures w14:val="standardContextual"/>
    </w:rPr>
  </w:style>
  <w:style w:type="paragraph" w:styleId="Hlavika">
    <w:name w:val="header"/>
    <w:basedOn w:val="Normlny"/>
    <w:link w:val="HlavikaChar"/>
    <w:uiPriority w:val="99"/>
    <w:unhideWhenUsed/>
    <w:rsid w:val="00CE09F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E09FD"/>
    <w:rPr>
      <w:kern w:val="2"/>
      <w14:ligatures w14:val="standardContextual"/>
    </w:rPr>
  </w:style>
  <w:style w:type="paragraph" w:styleId="Pta">
    <w:name w:val="footer"/>
    <w:basedOn w:val="Normlny"/>
    <w:link w:val="PtaChar"/>
    <w:uiPriority w:val="99"/>
    <w:unhideWhenUsed/>
    <w:rsid w:val="00CE09FD"/>
    <w:pPr>
      <w:tabs>
        <w:tab w:val="center" w:pos="4536"/>
        <w:tab w:val="right" w:pos="9072"/>
      </w:tabs>
      <w:spacing w:after="0" w:line="240" w:lineRule="auto"/>
    </w:pPr>
  </w:style>
  <w:style w:type="character" w:customStyle="1" w:styleId="PtaChar">
    <w:name w:val="Päta Char"/>
    <w:basedOn w:val="Predvolenpsmoodseku"/>
    <w:link w:val="Pta"/>
    <w:uiPriority w:val="99"/>
    <w:rsid w:val="00CE09FD"/>
    <w:rPr>
      <w:kern w:val="2"/>
      <w14:ligatures w14:val="standardContextual"/>
    </w:rPr>
  </w:style>
  <w:style w:type="paragraph" w:styleId="Revzia">
    <w:name w:val="Revision"/>
    <w:hidden/>
    <w:uiPriority w:val="99"/>
    <w:semiHidden/>
    <w:rsid w:val="00CE09FD"/>
    <w:pPr>
      <w:spacing w:after="0" w:line="240" w:lineRule="auto"/>
    </w:pPr>
    <w:rPr>
      <w:kern w:val="2"/>
      <w14:ligatures w14:val="standardContextual"/>
    </w:rPr>
  </w:style>
  <w:style w:type="paragraph" w:styleId="Odsekzoznamu">
    <w:name w:val="List Paragraph"/>
    <w:aliases w:val="body,Odsek zoznamu2,List Paragraph,Odsek zoznamu21,Dot pt,F5 List Paragraph,Recommendation,List Paragraph11,List Paragraph à moi,Odsek zoznamu4,No Spacing1,List Paragraph Char Char Char,Indicator Text,Numbered Para 1,Odsek,Bullet 1,lp1"/>
    <w:basedOn w:val="Normlny"/>
    <w:link w:val="OdsekzoznamuChar"/>
    <w:uiPriority w:val="99"/>
    <w:qFormat/>
    <w:rsid w:val="00CE09FD"/>
    <w:pPr>
      <w:ind w:left="720"/>
      <w:contextualSpacing/>
    </w:p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unhideWhenUsed/>
    <w:qFormat/>
    <w:rsid w:val="00CE09FD"/>
    <w:pPr>
      <w:spacing w:after="0" w:line="240" w:lineRule="auto"/>
    </w:pPr>
    <w:rPr>
      <w:sz w:val="20"/>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qFormat/>
    <w:rsid w:val="00CE09FD"/>
    <w:rPr>
      <w:kern w:val="2"/>
      <w:sz w:val="20"/>
      <w:szCs w:val="20"/>
      <w14:ligatures w14:val="standardContextual"/>
    </w:r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basedOn w:val="Predvolenpsmoodseku"/>
    <w:link w:val="FootnoteReferneceChar"/>
    <w:uiPriority w:val="99"/>
    <w:unhideWhenUsed/>
    <w:qFormat/>
    <w:rsid w:val="00CE09FD"/>
    <w:rPr>
      <w:vertAlign w:val="superscript"/>
    </w:rPr>
  </w:style>
  <w:style w:type="character" w:styleId="Odkaznakomentr">
    <w:name w:val="annotation reference"/>
    <w:basedOn w:val="Predvolenpsmoodseku"/>
    <w:uiPriority w:val="99"/>
    <w:semiHidden/>
    <w:unhideWhenUsed/>
    <w:rsid w:val="00CE09FD"/>
    <w:rPr>
      <w:sz w:val="16"/>
      <w:szCs w:val="16"/>
    </w:rPr>
  </w:style>
  <w:style w:type="paragraph" w:styleId="Textkomentra">
    <w:name w:val="annotation text"/>
    <w:basedOn w:val="Normlny"/>
    <w:link w:val="TextkomentraChar"/>
    <w:uiPriority w:val="99"/>
    <w:unhideWhenUsed/>
    <w:rsid w:val="00CE09FD"/>
    <w:pPr>
      <w:spacing w:line="240" w:lineRule="auto"/>
    </w:pPr>
    <w:rPr>
      <w:sz w:val="20"/>
      <w:szCs w:val="20"/>
    </w:rPr>
  </w:style>
  <w:style w:type="character" w:customStyle="1" w:styleId="TextkomentraChar">
    <w:name w:val="Text komentára Char"/>
    <w:basedOn w:val="Predvolenpsmoodseku"/>
    <w:link w:val="Textkomentra"/>
    <w:uiPriority w:val="99"/>
    <w:rsid w:val="00CE09FD"/>
    <w:rPr>
      <w:kern w:val="2"/>
      <w:sz w:val="20"/>
      <w:szCs w:val="20"/>
      <w14:ligatures w14:val="standardContextual"/>
    </w:rPr>
  </w:style>
  <w:style w:type="paragraph" w:styleId="Predmetkomentra">
    <w:name w:val="annotation subject"/>
    <w:basedOn w:val="Textkomentra"/>
    <w:next w:val="Textkomentra"/>
    <w:link w:val="PredmetkomentraChar"/>
    <w:uiPriority w:val="99"/>
    <w:semiHidden/>
    <w:unhideWhenUsed/>
    <w:rsid w:val="00CE09FD"/>
    <w:rPr>
      <w:b/>
      <w:bCs/>
    </w:rPr>
  </w:style>
  <w:style w:type="character" w:customStyle="1" w:styleId="PredmetkomentraChar">
    <w:name w:val="Predmet komentára Char"/>
    <w:basedOn w:val="TextkomentraChar"/>
    <w:link w:val="Predmetkomentra"/>
    <w:uiPriority w:val="99"/>
    <w:semiHidden/>
    <w:rsid w:val="00CE09FD"/>
    <w:rPr>
      <w:b/>
      <w:bCs/>
      <w:kern w:val="2"/>
      <w:sz w:val="20"/>
      <w:szCs w:val="20"/>
      <w14:ligatures w14:val="standardContextual"/>
    </w:rPr>
  </w:style>
  <w:style w:type="paragraph" w:styleId="Textbubliny">
    <w:name w:val="Balloon Text"/>
    <w:basedOn w:val="Normlny"/>
    <w:link w:val="TextbublinyChar"/>
    <w:uiPriority w:val="99"/>
    <w:semiHidden/>
    <w:unhideWhenUsed/>
    <w:rsid w:val="00CE09F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E09FD"/>
    <w:rPr>
      <w:rFonts w:ascii="Segoe UI" w:hAnsi="Segoe UI" w:cs="Segoe UI"/>
      <w:kern w:val="2"/>
      <w:sz w:val="18"/>
      <w:szCs w:val="18"/>
      <w14:ligatures w14:val="standardContextual"/>
    </w:rPr>
  </w:style>
  <w:style w:type="paragraph" w:customStyle="1" w:styleId="pf0">
    <w:name w:val="pf0"/>
    <w:basedOn w:val="Normlny"/>
    <w:rsid w:val="00CE09FD"/>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cf01">
    <w:name w:val="cf01"/>
    <w:basedOn w:val="Predvolenpsmoodseku"/>
    <w:rsid w:val="00CE09FD"/>
    <w:rPr>
      <w:rFonts w:ascii="Segoe UI" w:hAnsi="Segoe UI" w:cs="Segoe UI" w:hint="default"/>
      <w:sz w:val="18"/>
      <w:szCs w:val="18"/>
    </w:rPr>
  </w:style>
  <w:style w:type="paragraph" w:styleId="Bezriadkovania">
    <w:name w:val="No Spacing"/>
    <w:uiPriority w:val="1"/>
    <w:qFormat/>
    <w:rsid w:val="00CE09FD"/>
    <w:pPr>
      <w:spacing w:after="0" w:line="240" w:lineRule="auto"/>
    </w:pPr>
    <w:rPr>
      <w:kern w:val="2"/>
      <w14:ligatures w14:val="standardContextual"/>
    </w:rPr>
  </w:style>
  <w:style w:type="paragraph" w:styleId="Normlnywebov">
    <w:name w:val="Normal (Web)"/>
    <w:aliases w:val="Normálny (WWW),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CE09FD"/>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column-highlighted-part">
    <w:name w:val="column-highlighted-part"/>
    <w:basedOn w:val="Predvolenpsmoodseku"/>
    <w:rsid w:val="00CE09FD"/>
  </w:style>
  <w:style w:type="character" w:customStyle="1" w:styleId="OdsekzoznamuChar">
    <w:name w:val="Odsek zoznamu Char"/>
    <w:aliases w:val="body Char,Odsek zoznamu2 Char,List Paragraph Char,Odsek zoznamu21 Char,Dot pt Char,F5 List Paragraph Char,Recommendation Char,List Paragraph11 Char,List Paragraph à moi Char,Odsek zoznamu4 Char,No Spacing1 Char,Indicator Text Char"/>
    <w:link w:val="Odsekzoznamu"/>
    <w:uiPriority w:val="99"/>
    <w:qFormat/>
    <w:locked/>
    <w:rsid w:val="00CE09FD"/>
    <w:rPr>
      <w:kern w:val="2"/>
      <w14:ligatures w14:val="standardContextual"/>
    </w:rPr>
  </w:style>
  <w:style w:type="table" w:styleId="Mriekatabuky">
    <w:name w:val="Table Grid"/>
    <w:basedOn w:val="Normlnatabuka"/>
    <w:uiPriority w:val="39"/>
    <w:rsid w:val="00CE09F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CE09FD"/>
    <w:rPr>
      <w:color w:val="605E5C"/>
      <w:shd w:val="clear" w:color="auto" w:fill="E1DFDD"/>
    </w:rPr>
  </w:style>
  <w:style w:type="character" w:styleId="PouitHypertextovPrepojenie">
    <w:name w:val="FollowedHyperlink"/>
    <w:basedOn w:val="Predvolenpsmoodseku"/>
    <w:uiPriority w:val="99"/>
    <w:semiHidden/>
    <w:unhideWhenUsed/>
    <w:rsid w:val="00CE09FD"/>
    <w:rPr>
      <w:color w:val="954F72" w:themeColor="followedHyperlink"/>
      <w:u w:val="single"/>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CE09FD"/>
    <w:pPr>
      <w:spacing w:before="240" w:line="240" w:lineRule="exact"/>
    </w:pPr>
    <w:rPr>
      <w:kern w:val="0"/>
      <w:vertAlign w:val="superscript"/>
      <w14:ligatures w14:val="none"/>
    </w:rPr>
  </w:style>
  <w:style w:type="character" w:customStyle="1" w:styleId="normaltextrun">
    <w:name w:val="normaltextrun"/>
    <w:basedOn w:val="Predvolenpsmoodseku"/>
    <w:rsid w:val="00CE09FD"/>
  </w:style>
  <w:style w:type="table" w:customStyle="1" w:styleId="Mriekatabuky1">
    <w:name w:val="Mriežka tabuľky1"/>
    <w:basedOn w:val="Normlnatabuka"/>
    <w:next w:val="Mriekatabuky"/>
    <w:uiPriority w:val="59"/>
    <w:rsid w:val="00CE0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zoznamzvraznenie11">
    <w:name w:val="Svetlý zoznam – zvýraznenie 11"/>
    <w:basedOn w:val="Normlnatabuka"/>
    <w:uiPriority w:val="61"/>
    <w:rsid w:val="00CE09FD"/>
    <w:pPr>
      <w:spacing w:after="0" w:line="240" w:lineRule="auto"/>
    </w:pPr>
    <w:rPr>
      <w:rFonts w:ascii="Times New Roman" w:eastAsia="Times New Roman" w:hAnsi="Times New Roman"/>
      <w:sz w:val="24"/>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ormlnywebovChar1">
    <w:name w:val="Normálny (webový) Char1"/>
    <w:aliases w:val="Normálny (WWW) Char,Normálny (webový) Char Char,Normálny (webový) Char1 Char Char,Normálny (webový) Char Char Char Char,Normálny (webový) Char1 Char Char Char Char,Normálny (webový) Char Char Char Char Char Char"/>
    <w:basedOn w:val="Predvolenpsmoodseku"/>
    <w:link w:val="Normlnywebov"/>
    <w:uiPriority w:val="99"/>
    <w:rsid w:val="00CE09FD"/>
    <w:rPr>
      <w:rFonts w:ascii="Times New Roman" w:eastAsia="Times New Roman" w:hAnsi="Times New Roman" w:cs="Times New Roman"/>
      <w:sz w:val="24"/>
      <w:szCs w:val="24"/>
      <w:lang w:eastAsia="sk-SK"/>
    </w:rPr>
  </w:style>
  <w:style w:type="character" w:customStyle="1" w:styleId="eop">
    <w:name w:val="eop"/>
    <w:basedOn w:val="Predvolenpsmoodseku"/>
    <w:rsid w:val="00CE09FD"/>
  </w:style>
  <w:style w:type="paragraph" w:customStyle="1" w:styleId="paragraph">
    <w:name w:val="paragraph"/>
    <w:basedOn w:val="Normlny"/>
    <w:rsid w:val="00CE09FD"/>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superscript">
    <w:name w:val="superscript"/>
    <w:basedOn w:val="Predvolenpsmoodseku"/>
    <w:rsid w:val="00CE09FD"/>
  </w:style>
  <w:style w:type="paragraph" w:styleId="Popis">
    <w:name w:val="caption"/>
    <w:basedOn w:val="Normlny"/>
    <w:next w:val="Normlny"/>
    <w:uiPriority w:val="35"/>
    <w:unhideWhenUsed/>
    <w:qFormat/>
    <w:rsid w:val="00CE09F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425066">
      <w:bodyDiv w:val="1"/>
      <w:marLeft w:val="0"/>
      <w:marRight w:val="0"/>
      <w:marTop w:val="0"/>
      <w:marBottom w:val="0"/>
      <w:divBdr>
        <w:top w:val="none" w:sz="0" w:space="0" w:color="auto"/>
        <w:left w:val="none" w:sz="0" w:space="0" w:color="auto"/>
        <w:bottom w:val="none" w:sz="0" w:space="0" w:color="auto"/>
        <w:right w:val="none" w:sz="0" w:space="0" w:color="auto"/>
      </w:divBdr>
    </w:div>
    <w:div w:id="1781336079">
      <w:bodyDiv w:val="1"/>
      <w:marLeft w:val="0"/>
      <w:marRight w:val="0"/>
      <w:marTop w:val="0"/>
      <w:marBottom w:val="0"/>
      <w:divBdr>
        <w:top w:val="none" w:sz="0" w:space="0" w:color="auto"/>
        <w:left w:val="none" w:sz="0" w:space="0" w:color="auto"/>
        <w:bottom w:val="none" w:sz="0" w:space="0" w:color="auto"/>
        <w:right w:val="none" w:sz="0" w:space="0" w:color="auto"/>
      </w:divBdr>
    </w:div>
    <w:div w:id="1821342042">
      <w:bodyDiv w:val="1"/>
      <w:marLeft w:val="0"/>
      <w:marRight w:val="0"/>
      <w:marTop w:val="0"/>
      <w:marBottom w:val="0"/>
      <w:divBdr>
        <w:top w:val="none" w:sz="0" w:space="0" w:color="auto"/>
        <w:left w:val="none" w:sz="0" w:space="0" w:color="auto"/>
        <w:bottom w:val="none" w:sz="0" w:space="0" w:color="auto"/>
        <w:right w:val="none" w:sz="0" w:space="0" w:color="auto"/>
      </w:divBdr>
    </w:div>
    <w:div w:id="193011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fondy.gov.sk/dokumenty-a-publikacie/metodick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fondy.gov.sk/dokumenty-a-publikacie/metodicke-dokumenty/"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fondy.gov.sk/dokumenty-a-publikacie/metodicke-dokumen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e.gov.sk/sk/financie/statne-vykaznictvo/legislativa/postupy-uctovania-ropo-obci-vuc-statnych-fondov/" TargetMode="External"/><Relationship Id="rId1" Type="http://schemas.openxmlformats.org/officeDocument/2006/relationships/hyperlink" Target="https://eurofondy.gov.sk/dokumenty-a-publikacie/metodick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6F854793344947BCC8B9136DDFE857" ma:contentTypeVersion="15" ma:contentTypeDescription="Create a new document." ma:contentTypeScope="" ma:versionID="e8c9db6126f05a4b31ce1b065c33c5e7">
  <xsd:schema xmlns:xsd="http://www.w3.org/2001/XMLSchema" xmlns:xs="http://www.w3.org/2001/XMLSchema" xmlns:p="http://schemas.microsoft.com/office/2006/metadata/properties" xmlns:ns3="f8bc783d-2524-4b25-b0fc-db0ec06277c6" xmlns:ns4="8fd8afbf-a0e6-4ede-b10b-4f5199f671a0" targetNamespace="http://schemas.microsoft.com/office/2006/metadata/properties" ma:root="true" ma:fieldsID="583d9f4272def7d3819ef03880dd803f" ns3:_="" ns4:_="">
    <xsd:import namespace="f8bc783d-2524-4b25-b0fc-db0ec06277c6"/>
    <xsd:import namespace="8fd8afbf-a0e6-4ede-b10b-4f5199f671a0"/>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SearchPropertie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c783d-2524-4b25-b0fc-db0ec06277c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d8afbf-a0e6-4ede-b10b-4f5199f671a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f8bc783d-2524-4b25-b0fc-db0ec06277c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EBAC9E-E841-4C9F-ACBB-92A16A7AB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c783d-2524-4b25-b0fc-db0ec06277c6"/>
    <ds:schemaRef ds:uri="8fd8afbf-a0e6-4ede-b10b-4f5199f67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53875A-71DF-4B5C-98DE-B9EE211AA9AC}">
  <ds:schemaRefs>
    <ds:schemaRef ds:uri="http://schemas.openxmlformats.org/officeDocument/2006/bibliography"/>
  </ds:schemaRefs>
</ds:datastoreItem>
</file>

<file path=customXml/itemProps3.xml><?xml version="1.0" encoding="utf-8"?>
<ds:datastoreItem xmlns:ds="http://schemas.openxmlformats.org/officeDocument/2006/customXml" ds:itemID="{5276BF36-256F-4217-B24D-FCE812BB1CDE}">
  <ds:schemaRefs>
    <ds:schemaRef ds:uri="http://schemas.openxmlformats.org/package/2006/metadata/core-properties"/>
    <ds:schemaRef ds:uri="http://purl.org/dc/term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8fd8afbf-a0e6-4ede-b10b-4f5199f671a0"/>
    <ds:schemaRef ds:uri="f8bc783d-2524-4b25-b0fc-db0ec06277c6"/>
    <ds:schemaRef ds:uri="http://schemas.microsoft.com/office/2006/metadata/properties"/>
  </ds:schemaRefs>
</ds:datastoreItem>
</file>

<file path=customXml/itemProps4.xml><?xml version="1.0" encoding="utf-8"?>
<ds:datastoreItem xmlns:ds="http://schemas.openxmlformats.org/officeDocument/2006/customXml" ds:itemID="{DF182CB5-6A9F-4506-B38D-E1A47D9F87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12</Pages>
  <Words>3797</Words>
  <Characters>21643</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Hajdin Miloš</dc:creator>
  <cp:keywords/>
  <dc:description/>
  <cp:lastModifiedBy>Hajdin Miloš</cp:lastModifiedBy>
  <cp:revision>93</cp:revision>
  <dcterms:created xsi:type="dcterms:W3CDTF">2024-05-07T12:52:00Z</dcterms:created>
  <dcterms:modified xsi:type="dcterms:W3CDTF">2025-04-27T16:32:00Z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0x010100FE6F854793344947BCC8B9136DDFE857</vt:lpwstr>
  </property>
</Properties>
</file>